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75FB" w:rsidRPr="006175FB" w:rsidRDefault="006175FB" w:rsidP="006175FB">
      <w:pPr>
        <w:pStyle w:val="Title"/>
      </w:pPr>
      <w:r w:rsidRPr="006175FB">
        <w:t>Help Starts Here.</w:t>
      </w:r>
    </w:p>
    <w:p w:rsidR="00597945" w:rsidRPr="00327EF1" w:rsidRDefault="006175FB" w:rsidP="006175FB">
      <w:pPr>
        <w:pStyle w:val="Heading1"/>
        <w:rPr>
          <w:b/>
        </w:rPr>
      </w:pPr>
      <w:r w:rsidRPr="00327EF1">
        <w:rPr>
          <w:b/>
        </w:rPr>
        <w:t>Washington State Employee Assistance Program</w:t>
      </w:r>
    </w:p>
    <w:p w:rsidR="006175FB" w:rsidRPr="00327EF1" w:rsidRDefault="006175FB" w:rsidP="006175FB">
      <w:pPr>
        <w:pStyle w:val="Heading2"/>
        <w:rPr>
          <w:b/>
        </w:rPr>
      </w:pPr>
      <w:r w:rsidRPr="00327EF1">
        <w:rPr>
          <w:b/>
        </w:rPr>
        <w:t xml:space="preserve">EAP is </w:t>
      </w:r>
      <w:proofErr w:type="gramStart"/>
      <w:r w:rsidRPr="00327EF1">
        <w:rPr>
          <w:b/>
        </w:rPr>
        <w:t>Here</w:t>
      </w:r>
      <w:proofErr w:type="gramEnd"/>
      <w:r w:rsidRPr="00327EF1">
        <w:rPr>
          <w:b/>
        </w:rPr>
        <w:t xml:space="preserve"> for You</w:t>
      </w:r>
    </w:p>
    <w:p w:rsidR="006175FB" w:rsidRDefault="006175FB" w:rsidP="00327EF1">
      <w:pPr>
        <w:pStyle w:val="NoSpacing"/>
        <w:rPr>
          <w:rFonts w:ascii="Avenir-Roman" w:hAnsi="Avenir-Roman" w:cs="Avenir-Roman"/>
          <w:sz w:val="20"/>
          <w:szCs w:val="20"/>
        </w:rPr>
      </w:pPr>
      <w:r w:rsidRPr="006175FB">
        <w:rPr>
          <w:rFonts w:ascii="Avenir-Roman" w:hAnsi="Avenir-Roman" w:cs="Avenir-Roman"/>
          <w:sz w:val="20"/>
          <w:szCs w:val="20"/>
        </w:rPr>
        <w:t>The Washington State Employee Assistance Program (EAP)</w:t>
      </w:r>
      <w:r w:rsidR="00327EF1">
        <w:rPr>
          <w:rFonts w:ascii="Avenir-Roman" w:hAnsi="Avenir-Roman" w:cs="Avenir-Roman"/>
          <w:sz w:val="20"/>
          <w:szCs w:val="20"/>
        </w:rPr>
        <w:t xml:space="preserve"> partners with organizations and management to help public agencies function at their best. Here’s how we can help you:</w:t>
      </w:r>
      <w:r w:rsidRPr="006175FB">
        <w:rPr>
          <w:rFonts w:ascii="Avenir-Roman" w:hAnsi="Avenir-Roman" w:cs="Avenir-Roman"/>
          <w:sz w:val="20"/>
          <w:szCs w:val="20"/>
        </w:rPr>
        <w:t xml:space="preserve"> </w:t>
      </w:r>
    </w:p>
    <w:p w:rsidR="00327EF1" w:rsidRPr="006175FB" w:rsidRDefault="00327EF1" w:rsidP="00327EF1">
      <w:pPr>
        <w:pStyle w:val="NoSpacing"/>
        <w:rPr>
          <w:rFonts w:ascii="Avenir-Roman" w:hAnsi="Avenir-Roman" w:cs="Avenir-Roman"/>
          <w:sz w:val="20"/>
          <w:szCs w:val="20"/>
        </w:rPr>
      </w:pPr>
    </w:p>
    <w:p w:rsidR="006175FB" w:rsidRPr="00327EF1" w:rsidRDefault="00327EF1" w:rsidP="006175FB">
      <w:pPr>
        <w:pStyle w:val="Heading2"/>
        <w:rPr>
          <w:b/>
        </w:rPr>
      </w:pPr>
      <w:r w:rsidRPr="00327EF1">
        <w:rPr>
          <w:b/>
        </w:rPr>
        <w:t>Organizational Consultation</w:t>
      </w:r>
    </w:p>
    <w:p w:rsidR="006175FB" w:rsidRDefault="00327EF1" w:rsidP="006175FB">
      <w:pPr>
        <w:pStyle w:val="NoSpacing"/>
        <w:rPr>
          <w:rFonts w:ascii="Avenir-Roman" w:hAnsi="Avenir-Roman" w:cs="Avenir-Roman"/>
          <w:sz w:val="20"/>
          <w:szCs w:val="20"/>
        </w:rPr>
      </w:pPr>
      <w:r>
        <w:rPr>
          <w:rFonts w:ascii="Avenir-Roman" w:hAnsi="Avenir-Roman" w:cs="Avenir-Roman"/>
          <w:sz w:val="20"/>
          <w:szCs w:val="20"/>
        </w:rPr>
        <w:t>Call EAP to talk with a caring, expert professional about any workplace concern. We provide advice, coaching, support, and resources to help problems in a wide variety of areas, including</w:t>
      </w:r>
      <w:r w:rsidR="006175FB" w:rsidRPr="006175FB">
        <w:rPr>
          <w:rFonts w:ascii="Avenir-Roman" w:hAnsi="Avenir-Roman" w:cs="Avenir-Roman"/>
          <w:sz w:val="20"/>
          <w:szCs w:val="20"/>
        </w:rPr>
        <w:t>:</w:t>
      </w:r>
    </w:p>
    <w:p w:rsidR="00327EF1" w:rsidRDefault="00327EF1" w:rsidP="00327EF1">
      <w:pPr>
        <w:pStyle w:val="NoSpacing"/>
        <w:numPr>
          <w:ilvl w:val="0"/>
          <w:numId w:val="3"/>
        </w:numPr>
        <w:rPr>
          <w:rFonts w:ascii="Avenir-Roman" w:hAnsi="Avenir-Roman" w:cs="Avenir-Roman"/>
          <w:sz w:val="20"/>
          <w:szCs w:val="20"/>
        </w:rPr>
      </w:pPr>
      <w:r>
        <w:rPr>
          <w:rFonts w:ascii="Avenir-Roman" w:hAnsi="Avenir-Roman" w:cs="Avenir-Roman"/>
          <w:sz w:val="20"/>
          <w:szCs w:val="20"/>
        </w:rPr>
        <w:t>Performance concerns</w:t>
      </w:r>
    </w:p>
    <w:p w:rsidR="00327EF1" w:rsidRDefault="00327EF1" w:rsidP="00327EF1">
      <w:pPr>
        <w:pStyle w:val="NoSpacing"/>
        <w:numPr>
          <w:ilvl w:val="0"/>
          <w:numId w:val="3"/>
        </w:numPr>
        <w:rPr>
          <w:rFonts w:ascii="Avenir-Roman" w:hAnsi="Avenir-Roman" w:cs="Avenir-Roman"/>
          <w:sz w:val="20"/>
          <w:szCs w:val="20"/>
        </w:rPr>
      </w:pPr>
      <w:r>
        <w:rPr>
          <w:rFonts w:ascii="Avenir-Roman" w:hAnsi="Avenir-Roman" w:cs="Avenir-Roman"/>
          <w:sz w:val="20"/>
          <w:szCs w:val="20"/>
        </w:rPr>
        <w:t>Disciplinary issues</w:t>
      </w:r>
    </w:p>
    <w:p w:rsidR="00327EF1" w:rsidRDefault="00327EF1" w:rsidP="00327EF1">
      <w:pPr>
        <w:pStyle w:val="NoSpacing"/>
        <w:numPr>
          <w:ilvl w:val="0"/>
          <w:numId w:val="3"/>
        </w:numPr>
        <w:rPr>
          <w:rFonts w:ascii="Avenir-Roman" w:hAnsi="Avenir-Roman" w:cs="Avenir-Roman"/>
          <w:sz w:val="20"/>
          <w:szCs w:val="20"/>
        </w:rPr>
      </w:pPr>
      <w:r>
        <w:rPr>
          <w:rFonts w:ascii="Avenir-Roman" w:hAnsi="Avenir-Roman" w:cs="Avenir-Roman"/>
          <w:sz w:val="20"/>
          <w:szCs w:val="20"/>
        </w:rPr>
        <w:t>Substance misuse</w:t>
      </w:r>
    </w:p>
    <w:p w:rsidR="00327EF1" w:rsidRDefault="00327EF1" w:rsidP="00327EF1">
      <w:pPr>
        <w:pStyle w:val="NoSpacing"/>
        <w:numPr>
          <w:ilvl w:val="0"/>
          <w:numId w:val="3"/>
        </w:numPr>
        <w:rPr>
          <w:rFonts w:ascii="Avenir-Roman" w:hAnsi="Avenir-Roman" w:cs="Avenir-Roman"/>
          <w:sz w:val="20"/>
          <w:szCs w:val="20"/>
        </w:rPr>
      </w:pPr>
      <w:r>
        <w:rPr>
          <w:rFonts w:ascii="Avenir-Roman" w:hAnsi="Avenir-Roman" w:cs="Avenir-Roman"/>
          <w:sz w:val="20"/>
          <w:szCs w:val="20"/>
        </w:rPr>
        <w:t>Managing change</w:t>
      </w:r>
    </w:p>
    <w:p w:rsidR="00327EF1" w:rsidRDefault="00327EF1" w:rsidP="00327EF1">
      <w:pPr>
        <w:pStyle w:val="NoSpacing"/>
        <w:numPr>
          <w:ilvl w:val="0"/>
          <w:numId w:val="3"/>
        </w:numPr>
        <w:rPr>
          <w:rFonts w:ascii="Avenir-Roman" w:hAnsi="Avenir-Roman" w:cs="Avenir-Roman"/>
          <w:sz w:val="20"/>
          <w:szCs w:val="20"/>
        </w:rPr>
      </w:pPr>
      <w:r>
        <w:rPr>
          <w:rFonts w:ascii="Avenir-Roman" w:hAnsi="Avenir-Roman" w:cs="Avenir-Roman"/>
          <w:sz w:val="20"/>
          <w:szCs w:val="20"/>
        </w:rPr>
        <w:t>Conflict</w:t>
      </w:r>
    </w:p>
    <w:p w:rsidR="00327EF1" w:rsidRDefault="00327EF1" w:rsidP="00327EF1">
      <w:pPr>
        <w:pStyle w:val="NoSpacing"/>
        <w:numPr>
          <w:ilvl w:val="0"/>
          <w:numId w:val="3"/>
        </w:numPr>
        <w:rPr>
          <w:rFonts w:ascii="Avenir-Roman" w:hAnsi="Avenir-Roman" w:cs="Avenir-Roman"/>
          <w:sz w:val="20"/>
          <w:szCs w:val="20"/>
        </w:rPr>
      </w:pPr>
      <w:r>
        <w:rPr>
          <w:rFonts w:ascii="Avenir-Roman" w:hAnsi="Avenir-Roman" w:cs="Avenir-Roman"/>
          <w:sz w:val="20"/>
          <w:szCs w:val="20"/>
        </w:rPr>
        <w:t>Domestic violence</w:t>
      </w:r>
    </w:p>
    <w:p w:rsidR="00327EF1" w:rsidRDefault="00327EF1" w:rsidP="00327EF1">
      <w:pPr>
        <w:pStyle w:val="NoSpacing"/>
        <w:numPr>
          <w:ilvl w:val="0"/>
          <w:numId w:val="3"/>
        </w:numPr>
        <w:rPr>
          <w:rFonts w:ascii="Avenir-Roman" w:hAnsi="Avenir-Roman" w:cs="Avenir-Roman"/>
          <w:sz w:val="20"/>
          <w:szCs w:val="20"/>
        </w:rPr>
      </w:pPr>
      <w:r>
        <w:rPr>
          <w:rFonts w:ascii="Avenir-Roman" w:hAnsi="Avenir-Roman" w:cs="Avenir-Roman"/>
          <w:sz w:val="20"/>
          <w:szCs w:val="20"/>
        </w:rPr>
        <w:t>Cultural and climate</w:t>
      </w:r>
    </w:p>
    <w:p w:rsidR="00327EF1" w:rsidRDefault="00327EF1" w:rsidP="00327EF1">
      <w:pPr>
        <w:pStyle w:val="NoSpacing"/>
        <w:numPr>
          <w:ilvl w:val="0"/>
          <w:numId w:val="3"/>
        </w:numPr>
        <w:rPr>
          <w:rFonts w:ascii="Avenir-Roman" w:hAnsi="Avenir-Roman" w:cs="Avenir-Roman"/>
          <w:sz w:val="20"/>
          <w:szCs w:val="20"/>
        </w:rPr>
      </w:pPr>
      <w:r>
        <w:rPr>
          <w:rFonts w:ascii="Avenir-Roman" w:hAnsi="Avenir-Roman" w:cs="Avenir-Roman"/>
          <w:sz w:val="20"/>
          <w:szCs w:val="20"/>
        </w:rPr>
        <w:t>Diversity, equity, and inclusion</w:t>
      </w:r>
    </w:p>
    <w:p w:rsidR="00327EF1" w:rsidRDefault="00327EF1" w:rsidP="00327EF1">
      <w:pPr>
        <w:pStyle w:val="NoSpacing"/>
        <w:numPr>
          <w:ilvl w:val="0"/>
          <w:numId w:val="3"/>
        </w:numPr>
        <w:rPr>
          <w:rFonts w:ascii="Avenir-Roman" w:hAnsi="Avenir-Roman" w:cs="Avenir-Roman"/>
          <w:sz w:val="20"/>
          <w:szCs w:val="20"/>
        </w:rPr>
      </w:pPr>
      <w:r>
        <w:rPr>
          <w:rFonts w:ascii="Avenir-Roman" w:hAnsi="Avenir-Roman" w:cs="Avenir-Roman"/>
          <w:sz w:val="20"/>
          <w:szCs w:val="20"/>
        </w:rPr>
        <w:t>Sexual harassment</w:t>
      </w:r>
    </w:p>
    <w:p w:rsidR="00327EF1" w:rsidRDefault="00327EF1" w:rsidP="00327EF1">
      <w:pPr>
        <w:pStyle w:val="NoSpacing"/>
        <w:numPr>
          <w:ilvl w:val="0"/>
          <w:numId w:val="3"/>
        </w:numPr>
        <w:rPr>
          <w:rFonts w:ascii="Avenir-Roman" w:hAnsi="Avenir-Roman" w:cs="Avenir-Roman"/>
          <w:sz w:val="20"/>
          <w:szCs w:val="20"/>
        </w:rPr>
      </w:pPr>
      <w:r>
        <w:rPr>
          <w:rFonts w:ascii="Avenir-Roman" w:hAnsi="Avenir-Roman" w:cs="Avenir-Roman"/>
          <w:sz w:val="20"/>
          <w:szCs w:val="20"/>
        </w:rPr>
        <w:t>Illness and death</w:t>
      </w:r>
    </w:p>
    <w:p w:rsidR="00327EF1" w:rsidRDefault="00327EF1" w:rsidP="00327EF1">
      <w:pPr>
        <w:pStyle w:val="NoSpacing"/>
        <w:numPr>
          <w:ilvl w:val="0"/>
          <w:numId w:val="3"/>
        </w:numPr>
        <w:rPr>
          <w:rFonts w:ascii="Avenir-Roman" w:hAnsi="Avenir-Roman" w:cs="Avenir-Roman"/>
          <w:sz w:val="20"/>
          <w:szCs w:val="20"/>
        </w:rPr>
      </w:pPr>
      <w:r>
        <w:rPr>
          <w:rFonts w:ascii="Avenir-Roman" w:hAnsi="Avenir-Roman" w:cs="Avenir-Roman"/>
          <w:sz w:val="20"/>
          <w:szCs w:val="20"/>
        </w:rPr>
        <w:t>Mental health</w:t>
      </w:r>
    </w:p>
    <w:p w:rsidR="00327EF1" w:rsidRDefault="00327EF1" w:rsidP="00327EF1">
      <w:pPr>
        <w:pStyle w:val="NoSpacing"/>
        <w:numPr>
          <w:ilvl w:val="0"/>
          <w:numId w:val="3"/>
        </w:numPr>
        <w:rPr>
          <w:rFonts w:ascii="Avenir-Roman" w:hAnsi="Avenir-Roman" w:cs="Avenir-Roman"/>
          <w:sz w:val="20"/>
          <w:szCs w:val="20"/>
        </w:rPr>
      </w:pPr>
      <w:r>
        <w:rPr>
          <w:rFonts w:ascii="Avenir-Roman" w:hAnsi="Avenir-Roman" w:cs="Avenir-Roman"/>
          <w:sz w:val="20"/>
          <w:szCs w:val="20"/>
        </w:rPr>
        <w:t>Suicidality</w:t>
      </w:r>
    </w:p>
    <w:p w:rsidR="00327EF1" w:rsidRDefault="00327EF1" w:rsidP="00327EF1">
      <w:pPr>
        <w:pStyle w:val="NoSpacing"/>
        <w:numPr>
          <w:ilvl w:val="0"/>
          <w:numId w:val="3"/>
        </w:numPr>
        <w:rPr>
          <w:rFonts w:ascii="Avenir-Roman" w:hAnsi="Avenir-Roman" w:cs="Avenir-Roman"/>
          <w:sz w:val="20"/>
          <w:szCs w:val="20"/>
        </w:rPr>
      </w:pPr>
      <w:r>
        <w:rPr>
          <w:rFonts w:ascii="Avenir-Roman" w:hAnsi="Avenir-Roman" w:cs="Avenir-Roman"/>
          <w:sz w:val="20"/>
          <w:szCs w:val="20"/>
        </w:rPr>
        <w:t>Safety concerns</w:t>
      </w:r>
    </w:p>
    <w:p w:rsidR="00327EF1" w:rsidRDefault="00327EF1" w:rsidP="00327EF1">
      <w:pPr>
        <w:pStyle w:val="NoSpacing"/>
        <w:numPr>
          <w:ilvl w:val="0"/>
          <w:numId w:val="3"/>
        </w:numPr>
        <w:rPr>
          <w:rFonts w:ascii="Avenir-Roman" w:hAnsi="Avenir-Roman" w:cs="Avenir-Roman"/>
          <w:sz w:val="20"/>
          <w:szCs w:val="20"/>
        </w:rPr>
      </w:pPr>
      <w:r>
        <w:rPr>
          <w:rFonts w:ascii="Avenir-Roman" w:hAnsi="Avenir-Roman" w:cs="Avenir-Roman"/>
          <w:sz w:val="20"/>
          <w:szCs w:val="20"/>
        </w:rPr>
        <w:t>Workplace violence</w:t>
      </w:r>
    </w:p>
    <w:p w:rsidR="00327EF1" w:rsidRDefault="00327EF1" w:rsidP="00327EF1">
      <w:pPr>
        <w:pStyle w:val="NoSpacing"/>
        <w:numPr>
          <w:ilvl w:val="0"/>
          <w:numId w:val="3"/>
        </w:numPr>
        <w:rPr>
          <w:rFonts w:ascii="Avenir-Roman" w:hAnsi="Avenir-Roman" w:cs="Avenir-Roman"/>
          <w:sz w:val="20"/>
          <w:szCs w:val="20"/>
        </w:rPr>
      </w:pPr>
      <w:r>
        <w:rPr>
          <w:rFonts w:ascii="Avenir-Roman" w:hAnsi="Avenir-Roman" w:cs="Avenir-Roman"/>
          <w:sz w:val="20"/>
          <w:szCs w:val="20"/>
        </w:rPr>
        <w:t>Secondary traumatic stress</w:t>
      </w:r>
    </w:p>
    <w:p w:rsidR="00327EF1" w:rsidRPr="006175FB" w:rsidRDefault="00327EF1" w:rsidP="00327EF1">
      <w:pPr>
        <w:pStyle w:val="NoSpacing"/>
        <w:ind w:left="720"/>
        <w:rPr>
          <w:rFonts w:ascii="Avenir-Roman" w:hAnsi="Avenir-Roman" w:cs="Avenir-Roman"/>
          <w:sz w:val="20"/>
          <w:szCs w:val="20"/>
        </w:rPr>
      </w:pPr>
    </w:p>
    <w:p w:rsidR="006175FB" w:rsidRPr="00327EF1" w:rsidRDefault="00327EF1" w:rsidP="006175FB">
      <w:pPr>
        <w:pStyle w:val="Heading2"/>
        <w:rPr>
          <w:b/>
        </w:rPr>
      </w:pPr>
      <w:r w:rsidRPr="00327EF1">
        <w:rPr>
          <w:b/>
        </w:rPr>
        <w:t>Crisis Response</w:t>
      </w:r>
    </w:p>
    <w:p w:rsidR="006175FB" w:rsidRPr="006175FB" w:rsidRDefault="00327EF1" w:rsidP="006175FB">
      <w:pPr>
        <w:pStyle w:val="NoSpacing"/>
        <w:rPr>
          <w:rFonts w:ascii="Avenir-Roman" w:hAnsi="Avenir-Roman" w:cs="Avenir-Roman"/>
          <w:sz w:val="20"/>
          <w:szCs w:val="20"/>
        </w:rPr>
      </w:pPr>
      <w:r>
        <w:rPr>
          <w:rFonts w:ascii="Avenir-Roman" w:hAnsi="Avenir-Roman" w:cs="Avenir-Roman"/>
          <w:sz w:val="20"/>
          <w:szCs w:val="20"/>
        </w:rPr>
        <w:t>When a significant loss or a traumatic event occurs, EAP guides managers on what to do in the aftermath. We coach you on best practices for supporting employees, and in certain overwhelming situations like the traumatic death of a coworker or an act of workplace violence, a counselor may come on-site to lead a group session.</w:t>
      </w:r>
    </w:p>
    <w:p w:rsidR="006175FB" w:rsidRPr="00327EF1" w:rsidRDefault="00AA0789" w:rsidP="006175FB">
      <w:pPr>
        <w:pStyle w:val="Heading2"/>
        <w:rPr>
          <w:b/>
        </w:rPr>
      </w:pPr>
      <w:r>
        <w:rPr>
          <w:b/>
        </w:rPr>
        <w:t>Employee Referrals</w:t>
      </w:r>
    </w:p>
    <w:p w:rsidR="006175FB" w:rsidRDefault="00AA0789" w:rsidP="006175FB">
      <w:pPr>
        <w:pStyle w:val="NoSpacing"/>
        <w:rPr>
          <w:rFonts w:ascii="Avenir-Roman" w:hAnsi="Avenir-Roman" w:cs="Avenir-Roman"/>
          <w:sz w:val="20"/>
          <w:szCs w:val="20"/>
        </w:rPr>
      </w:pPr>
      <w:r>
        <w:rPr>
          <w:rFonts w:ascii="Avenir-Roman" w:hAnsi="Avenir-Roman" w:cs="Avenir-Roman"/>
          <w:sz w:val="20"/>
          <w:szCs w:val="20"/>
        </w:rPr>
        <w:t>Partner with EAP to support struggling employees. When you call EAP in advance to establish a Formal Referral for an employee due to performance concerns, the EAP will report back to you about whether the employee made an appointment and followed through with services</w:t>
      </w:r>
      <w:r w:rsidR="006175FB" w:rsidRPr="006175FB">
        <w:rPr>
          <w:rFonts w:ascii="Avenir-Roman" w:hAnsi="Avenir-Roman" w:cs="Avenir-Roman"/>
          <w:sz w:val="20"/>
          <w:szCs w:val="20"/>
        </w:rPr>
        <w:t>.</w:t>
      </w:r>
    </w:p>
    <w:p w:rsidR="00AA0789" w:rsidRDefault="00AA0789" w:rsidP="006175FB">
      <w:pPr>
        <w:pStyle w:val="NoSpacing"/>
        <w:rPr>
          <w:rFonts w:ascii="Avenir-Roman" w:hAnsi="Avenir-Roman" w:cs="Avenir-Roman"/>
          <w:sz w:val="20"/>
          <w:szCs w:val="20"/>
        </w:rPr>
      </w:pPr>
    </w:p>
    <w:p w:rsidR="00AA0789" w:rsidRDefault="00AA0789" w:rsidP="00AA0789">
      <w:pPr>
        <w:pStyle w:val="Heading2"/>
        <w:rPr>
          <w:b/>
        </w:rPr>
      </w:pPr>
      <w:r>
        <w:rPr>
          <w:b/>
        </w:rPr>
        <w:t>Other Services</w:t>
      </w:r>
    </w:p>
    <w:p w:rsidR="00AA0789" w:rsidRDefault="00AA0789" w:rsidP="00AA0789">
      <w:pPr>
        <w:pStyle w:val="NoSpacing"/>
        <w:rPr>
          <w:rFonts w:ascii="Avenir-Roman" w:hAnsi="Avenir-Roman" w:cs="Avenir-Roman"/>
          <w:sz w:val="20"/>
          <w:szCs w:val="20"/>
        </w:rPr>
      </w:pPr>
      <w:r>
        <w:rPr>
          <w:rFonts w:ascii="Avenir-Roman" w:hAnsi="Avenir-Roman" w:cs="Avenir-Roman"/>
          <w:sz w:val="20"/>
          <w:szCs w:val="20"/>
        </w:rPr>
        <w:t xml:space="preserve">We support employees through counseling, legal and financial consultation, awareness and education. Visit our website to learn more. </w:t>
      </w:r>
    </w:p>
    <w:p w:rsidR="004F4961" w:rsidRDefault="004F4961" w:rsidP="00AA0789">
      <w:pPr>
        <w:pStyle w:val="NoSpacing"/>
        <w:rPr>
          <w:rFonts w:ascii="Avenir-Roman" w:hAnsi="Avenir-Roman" w:cs="Avenir-Roman"/>
          <w:sz w:val="20"/>
          <w:szCs w:val="20"/>
        </w:rPr>
      </w:pPr>
    </w:p>
    <w:p w:rsidR="004F4961" w:rsidRPr="004F4961" w:rsidRDefault="004F4961" w:rsidP="00AA0789">
      <w:pPr>
        <w:pStyle w:val="NoSpacing"/>
        <w:rPr>
          <w:rFonts w:cstheme="minorHAnsi"/>
        </w:rPr>
      </w:pPr>
      <w:r w:rsidRPr="004F4961">
        <w:rPr>
          <w:rFonts w:cstheme="minorHAnsi"/>
        </w:rPr>
        <w:t>EAP is a free, confidential program created to promote a resilient and productive workforce. EAP is a service of Washington State Department of Enterprise Services.</w:t>
      </w:r>
    </w:p>
    <w:p w:rsidR="00AA0789" w:rsidRDefault="00AA0789" w:rsidP="006175FB">
      <w:pPr>
        <w:pStyle w:val="NoSpacing"/>
        <w:rPr>
          <w:rFonts w:ascii="Avenir-Roman" w:hAnsi="Avenir-Roman" w:cs="Avenir-Roman"/>
          <w:sz w:val="20"/>
          <w:szCs w:val="20"/>
        </w:rPr>
      </w:pPr>
    </w:p>
    <w:p w:rsidR="006175FB" w:rsidRDefault="006175FB" w:rsidP="006175FB">
      <w:pPr>
        <w:pStyle w:val="Heading2"/>
        <w:rPr>
          <w:b/>
        </w:rPr>
      </w:pPr>
      <w:r w:rsidRPr="00327EF1">
        <w:rPr>
          <w:b/>
        </w:rPr>
        <w:t>Get in Touch</w:t>
      </w:r>
    </w:p>
    <w:p w:rsidR="00AA0789" w:rsidRPr="004F4961" w:rsidRDefault="00AA0789" w:rsidP="00AA0789">
      <w:pPr>
        <w:rPr>
          <w:rFonts w:cstheme="minorHAnsi"/>
        </w:rPr>
      </w:pPr>
      <w:r w:rsidRPr="004F4961">
        <w:rPr>
          <w:rFonts w:cstheme="minorHAnsi"/>
        </w:rPr>
        <w:t>We</w:t>
      </w:r>
      <w:r w:rsidRPr="004F4961">
        <w:rPr>
          <w:rFonts w:cstheme="minorHAnsi"/>
        </w:rPr>
        <w:t xml:space="preserve">’ve got the resources to </w:t>
      </w:r>
      <w:r w:rsidRPr="004F4961">
        <w:rPr>
          <w:rFonts w:cstheme="minorHAnsi"/>
        </w:rPr>
        <w:t>support</w:t>
      </w:r>
      <w:r w:rsidRPr="004F4961">
        <w:rPr>
          <w:rFonts w:cstheme="minorHAnsi"/>
        </w:rPr>
        <w:t xml:space="preserve"> you around the clock, on weekdays or weekends, year-round.</w:t>
      </w:r>
      <w:r w:rsidRPr="004F4961">
        <w:rPr>
          <w:rFonts w:cstheme="minorHAnsi"/>
        </w:rPr>
        <w:t xml:space="preserve"> </w:t>
      </w:r>
    </w:p>
    <w:p w:rsidR="006175FB" w:rsidRPr="004F4961" w:rsidRDefault="006175FB" w:rsidP="006175FB">
      <w:pPr>
        <w:pStyle w:val="NoSpacing"/>
        <w:rPr>
          <w:rFonts w:cstheme="minorHAnsi"/>
        </w:rPr>
      </w:pPr>
      <w:r w:rsidRPr="004F4961">
        <w:rPr>
          <w:rFonts w:cstheme="minorHAnsi"/>
        </w:rPr>
        <w:t>Website: eap.wa.gov</w:t>
      </w:r>
    </w:p>
    <w:p w:rsidR="006175FB" w:rsidRPr="004F4961" w:rsidRDefault="006175FB" w:rsidP="006175FB">
      <w:pPr>
        <w:pStyle w:val="NoSpacing"/>
        <w:rPr>
          <w:rFonts w:cstheme="minorHAnsi"/>
        </w:rPr>
      </w:pPr>
      <w:r w:rsidRPr="004F4961">
        <w:rPr>
          <w:rFonts w:cstheme="minorHAnsi"/>
        </w:rPr>
        <w:t>Call: 360-407-9490 or Toll Free at 877-313-4455</w:t>
      </w:r>
    </w:p>
    <w:p w:rsidR="006175FB" w:rsidRDefault="006175FB" w:rsidP="006175FB">
      <w:pPr>
        <w:autoSpaceDE w:val="0"/>
        <w:autoSpaceDN w:val="0"/>
        <w:adjustRightInd w:val="0"/>
        <w:spacing w:after="0" w:line="240" w:lineRule="auto"/>
      </w:pPr>
      <w:bookmarkStart w:id="0" w:name="_GoBack"/>
      <w:bookmarkEnd w:id="0"/>
    </w:p>
    <w:p w:rsidR="000C48EA" w:rsidRPr="00327EF1" w:rsidRDefault="000C48EA" w:rsidP="000C48EA">
      <w:pPr>
        <w:pStyle w:val="Heading3"/>
        <w:rPr>
          <w:b/>
          <w:sz w:val="26"/>
          <w:szCs w:val="26"/>
        </w:rPr>
      </w:pPr>
      <w:r w:rsidRPr="004F4961">
        <w:rPr>
          <w:b/>
          <w:color w:val="2E74B5" w:themeColor="accent1" w:themeShade="BF"/>
          <w:sz w:val="26"/>
          <w:szCs w:val="26"/>
        </w:rPr>
        <w:t xml:space="preserve">Reasons Why </w:t>
      </w:r>
      <w:r w:rsidR="004F4961" w:rsidRPr="004F4961">
        <w:rPr>
          <w:b/>
          <w:color w:val="2E74B5" w:themeColor="accent1" w:themeShade="BF"/>
          <w:sz w:val="26"/>
          <w:szCs w:val="26"/>
        </w:rPr>
        <w:t>Supervisors, Management and HR</w:t>
      </w:r>
      <w:r w:rsidRPr="004F4961">
        <w:rPr>
          <w:b/>
          <w:color w:val="2E74B5" w:themeColor="accent1" w:themeShade="BF"/>
          <w:sz w:val="26"/>
          <w:szCs w:val="26"/>
        </w:rPr>
        <w:t xml:space="preserve"> Might Contact EAP</w:t>
      </w:r>
    </w:p>
    <w:p w:rsidR="000C48EA" w:rsidRDefault="000C48EA" w:rsidP="006175FB">
      <w:pPr>
        <w:autoSpaceDE w:val="0"/>
        <w:autoSpaceDN w:val="0"/>
        <w:adjustRightInd w:val="0"/>
        <w:spacing w:after="0" w:line="240" w:lineRule="auto"/>
        <w:sectPr w:rsidR="000C48EA">
          <w:pgSz w:w="12240" w:h="15840"/>
          <w:pgMar w:top="1440" w:right="1440" w:bottom="1440" w:left="1440" w:header="720" w:footer="720" w:gutter="0"/>
          <w:cols w:space="720"/>
          <w:docGrid w:linePitch="360"/>
        </w:sectPr>
      </w:pPr>
    </w:p>
    <w:p w:rsidR="000C48EA" w:rsidRDefault="004F4961" w:rsidP="000C48EA">
      <w:pPr>
        <w:pStyle w:val="ListParagraph"/>
        <w:numPr>
          <w:ilvl w:val="0"/>
          <w:numId w:val="4"/>
        </w:numPr>
        <w:autoSpaceDE w:val="0"/>
        <w:autoSpaceDN w:val="0"/>
        <w:adjustRightInd w:val="0"/>
        <w:spacing w:after="120" w:line="240" w:lineRule="auto"/>
        <w:contextualSpacing w:val="0"/>
      </w:pPr>
      <w:r>
        <w:t>How do I have a difficult conversation with an employee about performance issues?</w:t>
      </w:r>
    </w:p>
    <w:p w:rsidR="000C48EA" w:rsidRDefault="004F4961" w:rsidP="000C48EA">
      <w:pPr>
        <w:pStyle w:val="ListParagraph"/>
        <w:numPr>
          <w:ilvl w:val="0"/>
          <w:numId w:val="4"/>
        </w:numPr>
        <w:autoSpaceDE w:val="0"/>
        <w:autoSpaceDN w:val="0"/>
        <w:adjustRightInd w:val="0"/>
        <w:spacing w:after="120" w:line="240" w:lineRule="auto"/>
        <w:contextualSpacing w:val="0"/>
      </w:pPr>
      <w:r>
        <w:t>The conflict on our team is making us lose focus at work</w:t>
      </w:r>
      <w:r w:rsidR="006175FB">
        <w:t>.</w:t>
      </w:r>
    </w:p>
    <w:p w:rsidR="000C48EA" w:rsidRDefault="004F4961" w:rsidP="000C48EA">
      <w:pPr>
        <w:pStyle w:val="ListParagraph"/>
        <w:numPr>
          <w:ilvl w:val="0"/>
          <w:numId w:val="4"/>
        </w:numPr>
        <w:autoSpaceDE w:val="0"/>
        <w:autoSpaceDN w:val="0"/>
        <w:adjustRightInd w:val="0"/>
        <w:spacing w:after="120" w:line="240" w:lineRule="auto"/>
        <w:contextualSpacing w:val="0"/>
      </w:pPr>
      <w:r>
        <w:t>I think a staff member is depressed and might be suicidal</w:t>
      </w:r>
      <w:r w:rsidR="006175FB">
        <w:t>.</w:t>
      </w:r>
    </w:p>
    <w:p w:rsidR="000C48EA" w:rsidRDefault="004F4961" w:rsidP="000C48EA">
      <w:pPr>
        <w:pStyle w:val="ListParagraph"/>
        <w:numPr>
          <w:ilvl w:val="0"/>
          <w:numId w:val="4"/>
        </w:numPr>
        <w:autoSpaceDE w:val="0"/>
        <w:autoSpaceDN w:val="0"/>
        <w:adjustRightInd w:val="0"/>
        <w:spacing w:after="120" w:line="240" w:lineRule="auto"/>
        <w:contextualSpacing w:val="0"/>
      </w:pPr>
      <w:r>
        <w:t>What can I do to improve morale?</w:t>
      </w:r>
    </w:p>
    <w:sectPr w:rsidR="000C48EA" w:rsidSect="000C48EA">
      <w:type w:val="continuous"/>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venir-Roman">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0F28D1"/>
    <w:multiLevelType w:val="hybridMultilevel"/>
    <w:tmpl w:val="1098F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F66D28"/>
    <w:multiLevelType w:val="hybridMultilevel"/>
    <w:tmpl w:val="CB562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CCA2D40"/>
    <w:multiLevelType w:val="hybridMultilevel"/>
    <w:tmpl w:val="1952A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EA13D05"/>
    <w:multiLevelType w:val="hybridMultilevel"/>
    <w:tmpl w:val="70A26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5FB"/>
    <w:rsid w:val="000C48EA"/>
    <w:rsid w:val="00327EF1"/>
    <w:rsid w:val="004F4961"/>
    <w:rsid w:val="00597945"/>
    <w:rsid w:val="006175FB"/>
    <w:rsid w:val="006B4A7D"/>
    <w:rsid w:val="007B3696"/>
    <w:rsid w:val="007C13BE"/>
    <w:rsid w:val="00985802"/>
    <w:rsid w:val="00993F3B"/>
    <w:rsid w:val="00AA07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4FD2F"/>
  <w15:chartTrackingRefBased/>
  <w15:docId w15:val="{9FF412A3-D467-4815-B9A5-D2F02FB9F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175F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175F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175F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75FB"/>
    <w:pPr>
      <w:ind w:left="720"/>
      <w:contextualSpacing/>
    </w:pPr>
  </w:style>
  <w:style w:type="paragraph" w:styleId="NoSpacing">
    <w:name w:val="No Spacing"/>
    <w:uiPriority w:val="1"/>
    <w:qFormat/>
    <w:rsid w:val="006175FB"/>
    <w:pPr>
      <w:spacing w:after="0" w:line="240" w:lineRule="auto"/>
    </w:pPr>
  </w:style>
  <w:style w:type="character" w:customStyle="1" w:styleId="Heading1Char">
    <w:name w:val="Heading 1 Char"/>
    <w:basedOn w:val="DefaultParagraphFont"/>
    <w:link w:val="Heading1"/>
    <w:uiPriority w:val="9"/>
    <w:rsid w:val="006175F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6175FB"/>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6175FB"/>
    <w:rPr>
      <w:rFonts w:asciiTheme="majorHAnsi" w:eastAsiaTheme="majorEastAsia" w:hAnsiTheme="majorHAnsi" w:cstheme="majorBidi"/>
      <w:color w:val="1F4D78" w:themeColor="accent1" w:themeShade="7F"/>
      <w:sz w:val="24"/>
      <w:szCs w:val="24"/>
    </w:rPr>
  </w:style>
  <w:style w:type="paragraph" w:styleId="Subtitle">
    <w:name w:val="Subtitle"/>
    <w:basedOn w:val="Normal"/>
    <w:next w:val="Normal"/>
    <w:link w:val="SubtitleChar"/>
    <w:uiPriority w:val="11"/>
    <w:qFormat/>
    <w:rsid w:val="006175FB"/>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6175FB"/>
    <w:rPr>
      <w:rFonts w:eastAsiaTheme="minorEastAsia"/>
      <w:color w:val="5A5A5A" w:themeColor="text1" w:themeTint="A5"/>
      <w:spacing w:val="15"/>
    </w:rPr>
  </w:style>
  <w:style w:type="paragraph" w:styleId="Title">
    <w:name w:val="Title"/>
    <w:basedOn w:val="Normal"/>
    <w:next w:val="Normal"/>
    <w:link w:val="TitleChar"/>
    <w:uiPriority w:val="10"/>
    <w:qFormat/>
    <w:rsid w:val="006175F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175FB"/>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324</Words>
  <Characters>1852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Washington Technology Solutions</Company>
  <LinksUpToDate>false</LinksUpToDate>
  <CharactersWithSpaces>2172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Guertin-Anderson, Cindy (DES)</dc:creator>
  <cp:keywords/>
  <dc:description/>
  <cp:lastModifiedBy>Gibbons, Randee (DES)</cp:lastModifiedBy>
  <cp:revision>3</cp:revision>
  <dcterms:created xsi:type="dcterms:W3CDTF">2021-07-26T18:38:00Z</dcterms:created>
  <dcterms:modified xsi:type="dcterms:W3CDTF">2021-07-26T19:05:00Z</dcterms:modified>
</cp:coreProperties>
</file>