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00F4" w14:textId="77777777" w:rsidR="004B1DF0" w:rsidRPr="00733D15" w:rsidRDefault="004B1DF0" w:rsidP="007953B3">
      <w:pPr>
        <w:pStyle w:val="BodyText"/>
        <w:rPr>
          <w:rFonts w:cs="Arial"/>
        </w:rPr>
      </w:pPr>
    </w:p>
    <w:p w14:paraId="693D3FEB" w14:textId="77777777" w:rsidR="004B1DF0" w:rsidRPr="00733D15" w:rsidRDefault="001A01C3" w:rsidP="007953B3">
      <w:pPr>
        <w:pStyle w:val="BodyText"/>
        <w:rPr>
          <w:rFonts w:cs="Arial"/>
        </w:rPr>
      </w:pPr>
      <w:r w:rsidRPr="00733D15">
        <w:rPr>
          <w:rFonts w:cs="Arial"/>
          <w:noProof/>
        </w:rPr>
        <w:drawing>
          <wp:inline distT="0" distB="0" distL="0" distR="0" wp14:anchorId="221E1207" wp14:editId="67D2505F">
            <wp:extent cx="5996940" cy="1013460"/>
            <wp:effectExtent l="0" t="0" r="3810" b="0"/>
            <wp:docPr id="6" name="Picture 1" descr="Washington State Department of Enterprise Services logo" title="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6940" cy="1013460"/>
                    </a:xfrm>
                    <a:prstGeom prst="rect">
                      <a:avLst/>
                    </a:prstGeom>
                    <a:noFill/>
                    <a:ln>
                      <a:noFill/>
                    </a:ln>
                  </pic:spPr>
                </pic:pic>
              </a:graphicData>
            </a:graphic>
          </wp:inline>
        </w:drawing>
      </w:r>
    </w:p>
    <w:p w14:paraId="6DCA0BCF" w14:textId="77777777" w:rsidR="004B1DF0" w:rsidRPr="00733D15" w:rsidRDefault="004B1DF0" w:rsidP="007953B3">
      <w:pPr>
        <w:pStyle w:val="BodyText"/>
        <w:rPr>
          <w:rFonts w:cs="Arial"/>
        </w:rPr>
      </w:pPr>
    </w:p>
    <w:p w14:paraId="4525A9E0" w14:textId="77777777" w:rsidR="004B1DF0" w:rsidRPr="00733D15" w:rsidRDefault="00BA47CF" w:rsidP="00445809">
      <w:pPr>
        <w:pStyle w:val="BodyText"/>
        <w:spacing w:before="2160"/>
        <w:rPr>
          <w:rFonts w:cs="Arial"/>
          <w:b/>
          <w:sz w:val="72"/>
          <w:szCs w:val="72"/>
        </w:rPr>
      </w:pPr>
      <w:r w:rsidRPr="00733D15">
        <w:rPr>
          <w:rFonts w:cs="Arial"/>
          <w:b/>
          <w:sz w:val="72"/>
          <w:szCs w:val="72"/>
        </w:rPr>
        <w:t>Information Technology Contracts Report</w:t>
      </w:r>
    </w:p>
    <w:p w14:paraId="0874F35B" w14:textId="17BE1551" w:rsidR="004B1DF0" w:rsidRPr="00733D15" w:rsidRDefault="00467C3C" w:rsidP="00445809">
      <w:pPr>
        <w:pStyle w:val="BodyText"/>
        <w:spacing w:before="1320"/>
        <w:rPr>
          <w:rFonts w:cs="Arial"/>
          <w:b/>
          <w:sz w:val="36"/>
          <w:szCs w:val="36"/>
        </w:rPr>
      </w:pPr>
      <w:r>
        <w:rPr>
          <w:rFonts w:cs="Arial"/>
          <w:b/>
          <w:sz w:val="36"/>
          <w:szCs w:val="36"/>
        </w:rPr>
        <w:t>December</w:t>
      </w:r>
      <w:r w:rsidRPr="00733D15">
        <w:rPr>
          <w:rFonts w:cs="Arial"/>
          <w:b/>
          <w:sz w:val="36"/>
          <w:szCs w:val="36"/>
        </w:rPr>
        <w:t xml:space="preserve"> </w:t>
      </w:r>
      <w:r w:rsidR="00086A2C" w:rsidRPr="00733D15">
        <w:rPr>
          <w:rFonts w:cs="Arial"/>
          <w:b/>
          <w:sz w:val="36"/>
          <w:szCs w:val="36"/>
        </w:rPr>
        <w:t>202</w:t>
      </w:r>
      <w:r w:rsidR="006F2870">
        <w:rPr>
          <w:rFonts w:cs="Arial"/>
          <w:b/>
          <w:sz w:val="36"/>
          <w:szCs w:val="36"/>
        </w:rPr>
        <w:t>1</w:t>
      </w:r>
    </w:p>
    <w:p w14:paraId="63A06D18" w14:textId="77777777" w:rsidR="004B1DF0" w:rsidRPr="00733D15" w:rsidRDefault="004B1DF0" w:rsidP="00445809">
      <w:pPr>
        <w:pStyle w:val="BodyText"/>
        <w:spacing w:before="4440"/>
        <w:rPr>
          <w:rFonts w:cs="Arial"/>
          <w:szCs w:val="22"/>
        </w:rPr>
      </w:pPr>
      <w:r w:rsidRPr="00733D15">
        <w:rPr>
          <w:rFonts w:cs="Arial"/>
          <w:szCs w:val="22"/>
        </w:rPr>
        <w:t>Contacts:</w:t>
      </w:r>
    </w:p>
    <w:p w14:paraId="1C8613E1" w14:textId="135058F4" w:rsidR="004B1DF0" w:rsidRPr="00733D15" w:rsidRDefault="00A53E24" w:rsidP="007953B3">
      <w:pPr>
        <w:pStyle w:val="BodyText"/>
        <w:rPr>
          <w:rFonts w:cs="Arial"/>
          <w:szCs w:val="22"/>
        </w:rPr>
      </w:pPr>
      <w:r>
        <w:rPr>
          <w:rFonts w:cs="Arial"/>
          <w:b/>
          <w:bCs/>
          <w:szCs w:val="22"/>
        </w:rPr>
        <w:t xml:space="preserve">Tara </w:t>
      </w:r>
      <w:r w:rsidR="00E61E70">
        <w:rPr>
          <w:rFonts w:cs="Arial"/>
          <w:b/>
          <w:bCs/>
          <w:szCs w:val="22"/>
        </w:rPr>
        <w:t xml:space="preserve">C. </w:t>
      </w:r>
      <w:r>
        <w:rPr>
          <w:rFonts w:cs="Arial"/>
          <w:b/>
          <w:bCs/>
          <w:szCs w:val="22"/>
        </w:rPr>
        <w:t>Smith</w:t>
      </w:r>
      <w:r w:rsidR="004B1DF0" w:rsidRPr="00733D15">
        <w:rPr>
          <w:rFonts w:cs="Arial"/>
          <w:szCs w:val="22"/>
        </w:rPr>
        <w:t>, Director, Department</w:t>
      </w:r>
      <w:r w:rsidR="004B1DF0" w:rsidRPr="00733D15">
        <w:rPr>
          <w:rFonts w:cs="Arial"/>
          <w:spacing w:val="1"/>
          <w:szCs w:val="22"/>
        </w:rPr>
        <w:t xml:space="preserve"> </w:t>
      </w:r>
      <w:r w:rsidR="004B1DF0" w:rsidRPr="00733D15">
        <w:rPr>
          <w:rFonts w:cs="Arial"/>
          <w:szCs w:val="22"/>
        </w:rPr>
        <w:t>of Enterprise Services,</w:t>
      </w:r>
      <w:r w:rsidR="004B1DF0" w:rsidRPr="00733D15">
        <w:rPr>
          <w:rFonts w:cs="Arial"/>
          <w:spacing w:val="3"/>
          <w:szCs w:val="22"/>
        </w:rPr>
        <w:t xml:space="preserve"> </w:t>
      </w:r>
      <w:r w:rsidR="004B1DF0" w:rsidRPr="00733D15">
        <w:rPr>
          <w:rFonts w:cs="Arial"/>
          <w:szCs w:val="22"/>
        </w:rPr>
        <w:t>(360) 407-9201</w:t>
      </w:r>
    </w:p>
    <w:p w14:paraId="5EB55044" w14:textId="77777777" w:rsidR="004B1DF0" w:rsidRPr="000F697B" w:rsidRDefault="00086A2C" w:rsidP="007953B3">
      <w:pPr>
        <w:pStyle w:val="BodyText"/>
        <w:rPr>
          <w:rFonts w:cs="Arial"/>
          <w:szCs w:val="22"/>
        </w:rPr>
        <w:sectPr w:rsidR="004B1DF0" w:rsidRPr="000F697B" w:rsidSect="00F43A7B">
          <w:type w:val="continuous"/>
          <w:pgSz w:w="12240" w:h="15840"/>
          <w:pgMar w:top="1440" w:right="1440" w:bottom="1152" w:left="1440" w:header="720" w:footer="720" w:gutter="0"/>
          <w:cols w:space="720"/>
          <w:noEndnote/>
        </w:sectPr>
      </w:pPr>
      <w:r w:rsidRPr="00733D15">
        <w:rPr>
          <w:rFonts w:cs="Arial"/>
          <w:b/>
          <w:bCs/>
          <w:szCs w:val="22"/>
        </w:rPr>
        <w:t>Jaime Rossman</w:t>
      </w:r>
      <w:r w:rsidR="004B1DF0" w:rsidRPr="00733D15">
        <w:rPr>
          <w:rFonts w:cs="Arial"/>
          <w:szCs w:val="22"/>
        </w:rPr>
        <w:t>, Assistant</w:t>
      </w:r>
      <w:r w:rsidR="004B1DF0" w:rsidRPr="00733D15">
        <w:rPr>
          <w:rFonts w:cs="Arial"/>
          <w:spacing w:val="-2"/>
          <w:szCs w:val="22"/>
        </w:rPr>
        <w:t xml:space="preserve"> </w:t>
      </w:r>
      <w:r w:rsidR="004B1DF0" w:rsidRPr="00733D15">
        <w:rPr>
          <w:rFonts w:cs="Arial"/>
          <w:szCs w:val="22"/>
        </w:rPr>
        <w:t>Director,</w:t>
      </w:r>
      <w:r w:rsidR="004B1DF0" w:rsidRPr="00733D15">
        <w:rPr>
          <w:rFonts w:cs="Arial"/>
          <w:spacing w:val="2"/>
          <w:szCs w:val="22"/>
        </w:rPr>
        <w:t xml:space="preserve"> </w:t>
      </w:r>
      <w:r w:rsidR="004B1DF0" w:rsidRPr="00733D15">
        <w:rPr>
          <w:rFonts w:cs="Arial"/>
          <w:szCs w:val="22"/>
        </w:rPr>
        <w:t>Department</w:t>
      </w:r>
      <w:r w:rsidR="004B1DF0" w:rsidRPr="00733D15">
        <w:rPr>
          <w:rFonts w:cs="Arial"/>
          <w:spacing w:val="1"/>
          <w:szCs w:val="22"/>
        </w:rPr>
        <w:t xml:space="preserve"> </w:t>
      </w:r>
      <w:r w:rsidR="004B1DF0" w:rsidRPr="00733D15">
        <w:rPr>
          <w:rFonts w:cs="Arial"/>
          <w:spacing w:val="-2"/>
          <w:szCs w:val="22"/>
        </w:rPr>
        <w:t>of</w:t>
      </w:r>
      <w:r w:rsidR="004B1DF0" w:rsidRPr="00733D15">
        <w:rPr>
          <w:rFonts w:cs="Arial"/>
          <w:szCs w:val="22"/>
        </w:rPr>
        <w:t xml:space="preserve"> Enterprise Services,</w:t>
      </w:r>
      <w:r w:rsidR="004B1DF0" w:rsidRPr="00733D15">
        <w:rPr>
          <w:rFonts w:cs="Arial"/>
          <w:spacing w:val="3"/>
          <w:szCs w:val="22"/>
        </w:rPr>
        <w:t xml:space="preserve"> </w:t>
      </w:r>
      <w:r w:rsidR="004B1DF0" w:rsidRPr="00733D15">
        <w:rPr>
          <w:rFonts w:cs="Arial"/>
          <w:szCs w:val="22"/>
        </w:rPr>
        <w:t xml:space="preserve">(360) </w:t>
      </w:r>
      <w:r w:rsidR="004B1DF0" w:rsidRPr="00733D15">
        <w:rPr>
          <w:rFonts w:cs="Arial"/>
          <w:spacing w:val="-2"/>
          <w:szCs w:val="22"/>
        </w:rPr>
        <w:t>407-</w:t>
      </w:r>
      <w:r w:rsidRPr="00733D15">
        <w:rPr>
          <w:rFonts w:cs="Arial"/>
          <w:spacing w:val="-2"/>
          <w:szCs w:val="22"/>
        </w:rPr>
        <w:t>9329</w:t>
      </w:r>
    </w:p>
    <w:p w14:paraId="15942E30" w14:textId="5EDC5745" w:rsidR="004D509D" w:rsidRDefault="00E3398E" w:rsidP="004D509D">
      <w:r w:rsidRPr="00E3398E">
        <w:lastRenderedPageBreak/>
        <w:t xml:space="preserve">For help receiving materials in alternate languages or formats, contact the Communications Division, (360) 407-8200 or accessibility@des.wa.gov. Persons who are deaf or hard of hearing may contact the Office of Equal Opportunity through the Washington Relay Service at 7-1-1. DES is committed to providing persons with disabilities equal access to DES services, </w:t>
      </w:r>
      <w:proofErr w:type="gramStart"/>
      <w:r w:rsidRPr="00E3398E">
        <w:t>programs</w:t>
      </w:r>
      <w:proofErr w:type="gramEnd"/>
      <w:r w:rsidRPr="00E3398E">
        <w:t xml:space="preserve"> and activities. </w:t>
      </w:r>
    </w:p>
    <w:p w14:paraId="277AB32F" w14:textId="2938CCBF" w:rsidR="004D509D" w:rsidRDefault="004D509D" w:rsidP="004D509D"/>
    <w:p w14:paraId="0313777C" w14:textId="1CDB7716" w:rsidR="004D509D" w:rsidRDefault="004D509D" w:rsidP="004D509D"/>
    <w:p w14:paraId="2A7452D3" w14:textId="4B9A2C3D" w:rsidR="004D509D" w:rsidRDefault="004D509D" w:rsidP="004D509D"/>
    <w:p w14:paraId="749FF3DA" w14:textId="375AEE47" w:rsidR="004D509D" w:rsidRDefault="004D509D" w:rsidP="004D509D"/>
    <w:p w14:paraId="3673EBD7" w14:textId="182B6CFA" w:rsidR="004D509D" w:rsidRDefault="004D509D" w:rsidP="004D509D"/>
    <w:p w14:paraId="55006C70" w14:textId="0C4CF8AE" w:rsidR="004D509D" w:rsidRDefault="004D509D" w:rsidP="004D509D"/>
    <w:p w14:paraId="7FECE594" w14:textId="3E304BB6" w:rsidR="004D509D" w:rsidRDefault="004D509D" w:rsidP="004D509D"/>
    <w:p w14:paraId="5DD56327" w14:textId="5E49A76F" w:rsidR="004D509D" w:rsidRDefault="004D509D" w:rsidP="004D509D"/>
    <w:p w14:paraId="4AA9261D" w14:textId="562809BD" w:rsidR="004D509D" w:rsidRDefault="004D509D" w:rsidP="004D509D"/>
    <w:p w14:paraId="590A8461" w14:textId="03856C96" w:rsidR="004D509D" w:rsidRDefault="004D509D" w:rsidP="004D509D"/>
    <w:p w14:paraId="30A366D2" w14:textId="07AC6633" w:rsidR="004D509D" w:rsidRDefault="004D509D" w:rsidP="004D509D"/>
    <w:p w14:paraId="7BD9792E" w14:textId="610AE4ED" w:rsidR="004D509D" w:rsidRDefault="004D509D" w:rsidP="004D509D"/>
    <w:p w14:paraId="79FD44D1" w14:textId="0445F546" w:rsidR="004D509D" w:rsidRDefault="004D509D" w:rsidP="004D509D"/>
    <w:p w14:paraId="0ADF2EE9" w14:textId="2F176821" w:rsidR="004D509D" w:rsidRDefault="004D509D" w:rsidP="004D509D"/>
    <w:p w14:paraId="30027868" w14:textId="69D1ED05" w:rsidR="004D509D" w:rsidRDefault="004D509D" w:rsidP="004D509D"/>
    <w:p w14:paraId="357EBE58" w14:textId="5A591487" w:rsidR="004D509D" w:rsidRDefault="004D509D" w:rsidP="004D509D"/>
    <w:p w14:paraId="267561BA" w14:textId="0032D884" w:rsidR="004D509D" w:rsidRDefault="004D509D" w:rsidP="004D509D"/>
    <w:p w14:paraId="39A8FF6B" w14:textId="235B7FF2" w:rsidR="004D509D" w:rsidRDefault="004D509D" w:rsidP="004D509D"/>
    <w:p w14:paraId="08482123" w14:textId="522BF45C" w:rsidR="004D509D" w:rsidRDefault="004D509D" w:rsidP="004D509D"/>
    <w:p w14:paraId="7B4A538C" w14:textId="6D7411CD" w:rsidR="004D509D" w:rsidRDefault="004D509D" w:rsidP="004D509D"/>
    <w:p w14:paraId="18DBCDB3" w14:textId="436F18FB" w:rsidR="004D509D" w:rsidRDefault="004D509D" w:rsidP="004D509D"/>
    <w:p w14:paraId="181E1D91" w14:textId="566108FC" w:rsidR="004D509D" w:rsidRDefault="004D509D" w:rsidP="004D509D"/>
    <w:p w14:paraId="63A2860F" w14:textId="6CFDD778" w:rsidR="004D509D" w:rsidRDefault="004D509D" w:rsidP="004D509D"/>
    <w:p w14:paraId="6140179E" w14:textId="72D70081" w:rsidR="004D509D" w:rsidRDefault="004D509D" w:rsidP="004D509D"/>
    <w:p w14:paraId="3D3B5B96" w14:textId="293553BF" w:rsidR="004D509D" w:rsidRDefault="004D509D" w:rsidP="004D509D"/>
    <w:p w14:paraId="7DDAA072" w14:textId="474A425B" w:rsidR="004D509D" w:rsidRDefault="004D509D" w:rsidP="004D509D"/>
    <w:p w14:paraId="06E06A2A" w14:textId="6A557D36" w:rsidR="004D509D" w:rsidRDefault="004D509D" w:rsidP="004D509D"/>
    <w:p w14:paraId="6CB1640B" w14:textId="6C57FB9F" w:rsidR="004D509D" w:rsidRDefault="004D509D" w:rsidP="004D509D"/>
    <w:p w14:paraId="065CE5E5" w14:textId="34EC41A8" w:rsidR="004D509D" w:rsidRDefault="004D509D" w:rsidP="004D509D"/>
    <w:p w14:paraId="669F9E19" w14:textId="14811DA5" w:rsidR="004D509D" w:rsidRDefault="004D509D" w:rsidP="004D509D"/>
    <w:p w14:paraId="385B0062" w14:textId="162A8758" w:rsidR="004D509D" w:rsidRDefault="004D509D" w:rsidP="004D509D"/>
    <w:p w14:paraId="78970957" w14:textId="554E4EA8" w:rsidR="004D509D" w:rsidRDefault="004D509D" w:rsidP="004D509D"/>
    <w:p w14:paraId="382C6D35" w14:textId="1B664C7E" w:rsidR="004D509D" w:rsidRDefault="004D509D" w:rsidP="004D509D"/>
    <w:p w14:paraId="3E914721" w14:textId="66629028" w:rsidR="004D509D" w:rsidRDefault="004D509D" w:rsidP="004D509D"/>
    <w:p w14:paraId="6E414032" w14:textId="5848AD0F" w:rsidR="004D509D" w:rsidRDefault="004D509D" w:rsidP="004D509D"/>
    <w:p w14:paraId="7723EBB1" w14:textId="3815DDF0" w:rsidR="004D509D" w:rsidRDefault="004D509D" w:rsidP="004D509D"/>
    <w:p w14:paraId="39F004BF" w14:textId="47F2F4F1" w:rsidR="004D509D" w:rsidRDefault="004D509D" w:rsidP="004D509D"/>
    <w:p w14:paraId="4EABAE6C" w14:textId="2B4F3C27" w:rsidR="004D509D" w:rsidRDefault="004D509D" w:rsidP="004D509D"/>
    <w:p w14:paraId="19C3729F" w14:textId="7A10F80D" w:rsidR="004D509D" w:rsidRDefault="004D509D" w:rsidP="004D509D"/>
    <w:p w14:paraId="7809170F" w14:textId="0FC6A2E6" w:rsidR="004D509D" w:rsidRDefault="004D509D" w:rsidP="004D509D"/>
    <w:p w14:paraId="5263FC30" w14:textId="60CEA4D6" w:rsidR="004D509D" w:rsidRDefault="004D509D" w:rsidP="004D509D"/>
    <w:p w14:paraId="7296990E" w14:textId="77777777" w:rsidR="004D509D" w:rsidRDefault="004D509D" w:rsidP="004D509D"/>
    <w:p w14:paraId="2D54801B" w14:textId="1D530930" w:rsidR="00E2698D" w:rsidRPr="00E2698D" w:rsidRDefault="00E2698D" w:rsidP="00E2698D">
      <w:pPr>
        <w:pStyle w:val="Heading1"/>
        <w:rPr>
          <w:rFonts w:cs="Arial"/>
        </w:rPr>
      </w:pPr>
      <w:r>
        <w:rPr>
          <w:rFonts w:cs="Arial"/>
        </w:rPr>
        <w:lastRenderedPageBreak/>
        <w:t>Report Highlights</w:t>
      </w:r>
    </w:p>
    <w:p w14:paraId="7D66012C" w14:textId="2BA00E2C" w:rsidR="00E2698D" w:rsidRPr="000F697B" w:rsidRDefault="00E2698D" w:rsidP="00E2698D">
      <w:pPr>
        <w:pStyle w:val="ListParagraph"/>
        <w:numPr>
          <w:ilvl w:val="0"/>
          <w:numId w:val="31"/>
        </w:numPr>
        <w:pBdr>
          <w:top w:val="single" w:sz="4" w:space="1" w:color="auto"/>
          <w:left w:val="single" w:sz="4" w:space="4" w:color="auto"/>
          <w:bottom w:val="single" w:sz="4" w:space="1" w:color="auto"/>
          <w:right w:val="single" w:sz="4" w:space="4" w:color="auto"/>
        </w:pBdr>
        <w:rPr>
          <w:rFonts w:cs="Arial"/>
          <w:szCs w:val="22"/>
        </w:rPr>
      </w:pPr>
      <w:r w:rsidRPr="000F697B">
        <w:rPr>
          <w:rFonts w:cs="Arial"/>
          <w:szCs w:val="22"/>
        </w:rPr>
        <w:t xml:space="preserve">Visit the DES </w:t>
      </w:r>
      <w:hyperlink r:id="rId9" w:history="1">
        <w:r w:rsidRPr="000F697B">
          <w:rPr>
            <w:rStyle w:val="Hyperlink"/>
            <w:rFonts w:cs="Arial"/>
            <w:szCs w:val="22"/>
          </w:rPr>
          <w:t>IT Contracts Reporting webpage</w:t>
        </w:r>
      </w:hyperlink>
      <w:r w:rsidRPr="000F697B">
        <w:rPr>
          <w:rFonts w:cs="Arial"/>
          <w:szCs w:val="22"/>
        </w:rPr>
        <w:t xml:space="preserve"> for directions and resources supplied to agencies including regular updates to the Frequently Asked Questions </w:t>
      </w:r>
      <w:r w:rsidR="00E001BA">
        <w:rPr>
          <w:rFonts w:cs="Arial"/>
          <w:szCs w:val="22"/>
        </w:rPr>
        <w:t xml:space="preserve">(FAQ) </w:t>
      </w:r>
      <w:r w:rsidRPr="000F697B">
        <w:rPr>
          <w:rFonts w:cs="Arial"/>
          <w:szCs w:val="22"/>
        </w:rPr>
        <w:t>document, points of contacts, and pertinent information regarding the reporting requirement(s).</w:t>
      </w:r>
    </w:p>
    <w:p w14:paraId="4D47EDC5" w14:textId="59236E8F" w:rsidR="00E2698D" w:rsidRDefault="00E2698D" w:rsidP="00E2698D">
      <w:pPr>
        <w:pStyle w:val="ListParagraph"/>
        <w:numPr>
          <w:ilvl w:val="0"/>
          <w:numId w:val="31"/>
        </w:numPr>
        <w:pBdr>
          <w:top w:val="single" w:sz="4" w:space="1" w:color="auto"/>
          <w:left w:val="single" w:sz="4" w:space="4" w:color="auto"/>
          <w:bottom w:val="single" w:sz="4" w:space="1" w:color="auto"/>
          <w:right w:val="single" w:sz="4" w:space="4" w:color="auto"/>
        </w:pBdr>
        <w:rPr>
          <w:rFonts w:cs="Arial"/>
          <w:szCs w:val="22"/>
        </w:rPr>
      </w:pPr>
      <w:r w:rsidRPr="000F697B">
        <w:rPr>
          <w:rFonts w:cs="Arial"/>
          <w:szCs w:val="22"/>
        </w:rPr>
        <w:t xml:space="preserve">DES rolled out </w:t>
      </w:r>
      <w:r w:rsidR="00826E1F">
        <w:rPr>
          <w:rFonts w:cs="Arial"/>
          <w:szCs w:val="22"/>
        </w:rPr>
        <w:t xml:space="preserve">a new template this year to help agencies </w:t>
      </w:r>
      <w:r w:rsidR="003C39D5">
        <w:rPr>
          <w:rFonts w:cs="Arial"/>
          <w:szCs w:val="22"/>
        </w:rPr>
        <w:t>reduce rework. The template calculates the fiscal years based on the contract dates and uses conditional formatting to highlight errors</w:t>
      </w:r>
      <w:r w:rsidR="002F2339">
        <w:rPr>
          <w:rFonts w:cs="Arial"/>
          <w:szCs w:val="22"/>
        </w:rPr>
        <w:t>, zeros,</w:t>
      </w:r>
      <w:r w:rsidR="003C39D5">
        <w:rPr>
          <w:rFonts w:cs="Arial"/>
          <w:szCs w:val="22"/>
        </w:rPr>
        <w:t xml:space="preserve"> or blank</w:t>
      </w:r>
      <w:r w:rsidR="006C790D">
        <w:rPr>
          <w:rFonts w:cs="Arial"/>
          <w:szCs w:val="22"/>
        </w:rPr>
        <w:t xml:space="preserve">s in columns that are required. </w:t>
      </w:r>
    </w:p>
    <w:p w14:paraId="3F553F36" w14:textId="70C8EDAC" w:rsidR="00EE588B" w:rsidRPr="00EE588B" w:rsidRDefault="00EE588B" w:rsidP="00EE588B">
      <w:pPr>
        <w:pStyle w:val="ListParagraph"/>
        <w:numPr>
          <w:ilvl w:val="0"/>
          <w:numId w:val="31"/>
        </w:numPr>
        <w:pBdr>
          <w:top w:val="single" w:sz="4" w:space="1" w:color="auto"/>
          <w:left w:val="single" w:sz="4" w:space="4" w:color="auto"/>
          <w:bottom w:val="single" w:sz="4" w:space="1" w:color="auto"/>
          <w:right w:val="single" w:sz="4" w:space="4" w:color="auto"/>
        </w:pBdr>
        <w:rPr>
          <w:rFonts w:cs="Arial"/>
          <w:szCs w:val="22"/>
        </w:rPr>
      </w:pPr>
      <w:r>
        <w:rPr>
          <w:rFonts w:cs="Arial"/>
          <w:szCs w:val="22"/>
        </w:rPr>
        <w:t>Of the144 agencies required to submit an IT Contracts Report, 138 were successful, 6 agencies have either not submitted a report or submitted a report with incomplete data. Only 82, roughly 60%, of agencies met the DES due date of September 1.</w:t>
      </w:r>
      <w:r w:rsidR="00DE1FCF">
        <w:rPr>
          <w:rFonts w:cs="Arial"/>
          <w:szCs w:val="22"/>
        </w:rPr>
        <w:t xml:space="preserve"> This final installment now contains 96% of agencies</w:t>
      </w:r>
      <w:r w:rsidR="008E1161">
        <w:rPr>
          <w:rFonts w:cs="Arial"/>
          <w:szCs w:val="22"/>
        </w:rPr>
        <w:t>.</w:t>
      </w:r>
    </w:p>
    <w:p w14:paraId="6AFFD501" w14:textId="2A6597B9" w:rsidR="00137A51" w:rsidRPr="000F697B" w:rsidRDefault="00A53E24" w:rsidP="00E2698D">
      <w:pPr>
        <w:pStyle w:val="ListParagraph"/>
        <w:numPr>
          <w:ilvl w:val="0"/>
          <w:numId w:val="31"/>
        </w:numPr>
        <w:pBdr>
          <w:top w:val="single" w:sz="4" w:space="1" w:color="auto"/>
          <w:left w:val="single" w:sz="4" w:space="4" w:color="auto"/>
          <w:bottom w:val="single" w:sz="4" w:space="1" w:color="auto"/>
          <w:right w:val="single" w:sz="4" w:space="4" w:color="auto"/>
        </w:pBdr>
        <w:rPr>
          <w:rFonts w:cs="Arial"/>
          <w:szCs w:val="22"/>
        </w:rPr>
      </w:pPr>
      <w:r>
        <w:rPr>
          <w:rFonts w:cs="Arial"/>
          <w:szCs w:val="22"/>
        </w:rPr>
        <w:t>Consolidated Technology Services provided Apptio data</w:t>
      </w:r>
      <w:r w:rsidR="00001607">
        <w:rPr>
          <w:rFonts w:cs="Arial"/>
          <w:szCs w:val="22"/>
        </w:rPr>
        <w:t xml:space="preserve"> and an analysis</w:t>
      </w:r>
      <w:r>
        <w:rPr>
          <w:rFonts w:cs="Arial"/>
          <w:szCs w:val="22"/>
        </w:rPr>
        <w:t xml:space="preserve"> by </w:t>
      </w:r>
      <w:r w:rsidR="00001607">
        <w:rPr>
          <w:rFonts w:cs="Arial"/>
          <w:szCs w:val="22"/>
        </w:rPr>
        <w:t>IT tower</w:t>
      </w:r>
      <w:r w:rsidR="00514954">
        <w:rPr>
          <w:rFonts w:cs="Arial"/>
          <w:szCs w:val="22"/>
        </w:rPr>
        <w:t xml:space="preserve"> (</w:t>
      </w:r>
      <w:r w:rsidR="00514954" w:rsidRPr="000F697B">
        <w:rPr>
          <w:rFonts w:cs="Arial"/>
          <w:szCs w:val="22"/>
        </w:rPr>
        <w:t>types of services</w:t>
      </w:r>
      <w:r w:rsidR="00514954">
        <w:rPr>
          <w:rFonts w:cs="Arial"/>
          <w:szCs w:val="22"/>
        </w:rPr>
        <w:t xml:space="preserve">) </w:t>
      </w:r>
      <w:r w:rsidR="00001607">
        <w:rPr>
          <w:rFonts w:cs="Arial"/>
          <w:szCs w:val="22"/>
        </w:rPr>
        <w:t>and cost pools</w:t>
      </w:r>
      <w:r w:rsidR="00514954">
        <w:rPr>
          <w:rFonts w:cs="Arial"/>
          <w:szCs w:val="22"/>
        </w:rPr>
        <w:t xml:space="preserve"> (</w:t>
      </w:r>
      <w:r w:rsidR="00514954" w:rsidRPr="00641B5E">
        <w:rPr>
          <w:rFonts w:cs="Arial"/>
        </w:rPr>
        <w:t>categories aligned with state general ledger accounts</w:t>
      </w:r>
      <w:r w:rsidR="00514954">
        <w:rPr>
          <w:rFonts w:cs="Arial"/>
        </w:rPr>
        <w:t>)</w:t>
      </w:r>
      <w:r w:rsidR="00514954" w:rsidRPr="00641B5E">
        <w:rPr>
          <w:rFonts w:cs="Arial"/>
        </w:rPr>
        <w:t xml:space="preserve"> </w:t>
      </w:r>
      <w:r w:rsidR="00001607">
        <w:rPr>
          <w:rFonts w:cs="Arial"/>
          <w:szCs w:val="22"/>
        </w:rPr>
        <w:t>to include in this report.</w:t>
      </w:r>
      <w:r w:rsidR="005E21DD">
        <w:rPr>
          <w:rFonts w:cs="Arial"/>
          <w:szCs w:val="22"/>
        </w:rPr>
        <w:t xml:space="preserve"> See details on pages 17 and 18.</w:t>
      </w:r>
    </w:p>
    <w:p w14:paraId="438CDB29" w14:textId="7F65F043" w:rsidR="004B1DF0" w:rsidRPr="00733D15" w:rsidRDefault="005C557A" w:rsidP="00077B1D">
      <w:pPr>
        <w:pStyle w:val="Heading1"/>
        <w:rPr>
          <w:rFonts w:cs="Arial"/>
        </w:rPr>
      </w:pPr>
      <w:r w:rsidRPr="00733D15">
        <w:rPr>
          <w:rFonts w:cs="Arial"/>
        </w:rPr>
        <w:t>Background</w:t>
      </w:r>
    </w:p>
    <w:p w14:paraId="0DC07DDA" w14:textId="4A0071CB" w:rsidR="004B1DF0" w:rsidRDefault="006D15F8" w:rsidP="007953B3">
      <w:pPr>
        <w:pStyle w:val="BodyText"/>
        <w:rPr>
          <w:rFonts w:cs="Arial"/>
          <w:szCs w:val="22"/>
        </w:rPr>
      </w:pPr>
      <w:r w:rsidRPr="000F697B">
        <w:rPr>
          <w:rFonts w:cs="Arial"/>
          <w:szCs w:val="22"/>
        </w:rPr>
        <w:t>The</w:t>
      </w:r>
      <w:r w:rsidR="005D4C66">
        <w:rPr>
          <w:rFonts w:cs="Arial"/>
          <w:szCs w:val="22"/>
        </w:rPr>
        <w:t xml:space="preserve"> Information Technology</w:t>
      </w:r>
      <w:r w:rsidRPr="000F697B">
        <w:rPr>
          <w:rFonts w:cs="Arial"/>
          <w:szCs w:val="22"/>
        </w:rPr>
        <w:t xml:space="preserve"> </w:t>
      </w:r>
      <w:r w:rsidR="005D4C66">
        <w:rPr>
          <w:rFonts w:cs="Arial"/>
          <w:szCs w:val="22"/>
        </w:rPr>
        <w:t>(</w:t>
      </w:r>
      <w:r w:rsidRPr="000F697B">
        <w:rPr>
          <w:rFonts w:cs="Arial"/>
          <w:szCs w:val="22"/>
        </w:rPr>
        <w:t>IT</w:t>
      </w:r>
      <w:r w:rsidR="005D4C66">
        <w:rPr>
          <w:rFonts w:cs="Arial"/>
          <w:szCs w:val="22"/>
        </w:rPr>
        <w:t>)</w:t>
      </w:r>
      <w:r w:rsidRPr="000F697B">
        <w:rPr>
          <w:rFonts w:cs="Arial"/>
          <w:szCs w:val="22"/>
        </w:rPr>
        <w:t xml:space="preserve"> Contracts Report is required by a proviso in section 14</w:t>
      </w:r>
      <w:r w:rsidR="00826E1F">
        <w:rPr>
          <w:rFonts w:cs="Arial"/>
          <w:szCs w:val="22"/>
        </w:rPr>
        <w:t>9</w:t>
      </w:r>
      <w:r w:rsidRPr="000F697B">
        <w:rPr>
          <w:rFonts w:cs="Arial"/>
          <w:szCs w:val="22"/>
        </w:rPr>
        <w:t>(</w:t>
      </w:r>
      <w:r w:rsidR="00826E1F">
        <w:rPr>
          <w:rFonts w:cs="Arial"/>
          <w:szCs w:val="22"/>
        </w:rPr>
        <w:t>4</w:t>
      </w:r>
      <w:r w:rsidRPr="000F697B">
        <w:rPr>
          <w:rFonts w:cs="Arial"/>
          <w:szCs w:val="22"/>
        </w:rPr>
        <w:t xml:space="preserve">) [Engrossed Substitute Senate Bill </w:t>
      </w:r>
      <w:r w:rsidR="006F2870">
        <w:rPr>
          <w:rFonts w:cs="Arial"/>
          <w:szCs w:val="22"/>
        </w:rPr>
        <w:t>5092</w:t>
      </w:r>
      <w:r w:rsidRPr="000F697B">
        <w:rPr>
          <w:rFonts w:cs="Arial"/>
          <w:szCs w:val="22"/>
        </w:rPr>
        <w:t xml:space="preserve">] of the </w:t>
      </w:r>
      <w:hyperlink r:id="rId10" w:history="1">
        <w:r w:rsidR="006F2870">
          <w:rPr>
            <w:rStyle w:val="Hyperlink"/>
            <w:rFonts w:cs="Arial"/>
            <w:szCs w:val="22"/>
          </w:rPr>
          <w:t>2021-23 Operating Budget</w:t>
        </w:r>
      </w:hyperlink>
      <w:r w:rsidRPr="000F697B">
        <w:rPr>
          <w:rFonts w:cs="Arial"/>
          <w:szCs w:val="22"/>
        </w:rPr>
        <w:t>. The proviso requires</w:t>
      </w:r>
      <w:r w:rsidR="00BA47CF" w:rsidRPr="000F697B">
        <w:rPr>
          <w:rFonts w:cs="Arial"/>
          <w:szCs w:val="22"/>
        </w:rPr>
        <w:t xml:space="preserve"> </w:t>
      </w:r>
      <w:r w:rsidR="00E80A99">
        <w:rPr>
          <w:rFonts w:cs="Arial"/>
          <w:szCs w:val="22"/>
        </w:rPr>
        <w:t>the Department of Enterprise Services (</w:t>
      </w:r>
      <w:r w:rsidR="00BA47CF" w:rsidRPr="000F697B">
        <w:rPr>
          <w:rFonts w:cs="Arial"/>
          <w:szCs w:val="22"/>
        </w:rPr>
        <w:t>DES</w:t>
      </w:r>
      <w:r w:rsidR="00E80A99">
        <w:rPr>
          <w:rFonts w:cs="Arial"/>
          <w:szCs w:val="22"/>
        </w:rPr>
        <w:t>)</w:t>
      </w:r>
      <w:r w:rsidR="00BA47CF" w:rsidRPr="000F697B">
        <w:rPr>
          <w:rFonts w:cs="Arial"/>
          <w:szCs w:val="22"/>
        </w:rPr>
        <w:t xml:space="preserve"> to receive, compile and submit a list of IT contracts for all state agencies and </w:t>
      </w:r>
      <w:r w:rsidR="00F83948" w:rsidRPr="000F697B">
        <w:rPr>
          <w:rFonts w:cs="Arial"/>
          <w:szCs w:val="22"/>
        </w:rPr>
        <w:t xml:space="preserve">institutions of </w:t>
      </w:r>
      <w:r w:rsidR="00BA47CF" w:rsidRPr="000F697B">
        <w:rPr>
          <w:rFonts w:cs="Arial"/>
          <w:szCs w:val="22"/>
        </w:rPr>
        <w:t>higher ed</w:t>
      </w:r>
      <w:r w:rsidR="00F83948" w:rsidRPr="000F697B">
        <w:rPr>
          <w:rFonts w:cs="Arial"/>
          <w:szCs w:val="22"/>
        </w:rPr>
        <w:t>ucation</w:t>
      </w:r>
      <w:r w:rsidR="00BA47CF" w:rsidRPr="000F697B">
        <w:rPr>
          <w:rFonts w:cs="Arial"/>
          <w:szCs w:val="22"/>
        </w:rPr>
        <w:t xml:space="preserve"> to the legislative fiscal committees</w:t>
      </w:r>
      <w:r w:rsidRPr="000F697B">
        <w:rPr>
          <w:rFonts w:cs="Arial"/>
          <w:szCs w:val="22"/>
        </w:rPr>
        <w:t xml:space="preserve"> by</w:t>
      </w:r>
      <w:r w:rsidR="00BA47CF" w:rsidRPr="000F697B">
        <w:rPr>
          <w:rFonts w:cs="Arial"/>
          <w:szCs w:val="22"/>
        </w:rPr>
        <w:t xml:space="preserve"> </w:t>
      </w:r>
      <w:r w:rsidR="00E90F75" w:rsidRPr="000F697B">
        <w:rPr>
          <w:rFonts w:cs="Arial"/>
          <w:szCs w:val="22"/>
        </w:rPr>
        <w:t>Oct</w:t>
      </w:r>
      <w:r w:rsidR="00E90F75">
        <w:rPr>
          <w:rFonts w:cs="Arial"/>
          <w:szCs w:val="22"/>
        </w:rPr>
        <w:t>.</w:t>
      </w:r>
      <w:r w:rsidR="00E90F75" w:rsidRPr="000F697B">
        <w:rPr>
          <w:rFonts w:cs="Arial"/>
          <w:szCs w:val="22"/>
        </w:rPr>
        <w:t xml:space="preserve"> </w:t>
      </w:r>
      <w:r w:rsidR="00A814FC" w:rsidRPr="000F697B">
        <w:rPr>
          <w:rFonts w:cs="Arial"/>
          <w:szCs w:val="22"/>
        </w:rPr>
        <w:t>31</w:t>
      </w:r>
      <w:r w:rsidR="00E80A99">
        <w:rPr>
          <w:rFonts w:cs="Arial"/>
          <w:szCs w:val="22"/>
        </w:rPr>
        <w:t xml:space="preserve"> </w:t>
      </w:r>
      <w:r w:rsidR="00BA47CF" w:rsidRPr="000F697B">
        <w:rPr>
          <w:rFonts w:cs="Arial"/>
          <w:szCs w:val="22"/>
        </w:rPr>
        <w:t>of each year.</w:t>
      </w:r>
    </w:p>
    <w:p w14:paraId="1F039D9B" w14:textId="47ECA20F" w:rsidR="00001607" w:rsidRDefault="00001607" w:rsidP="007953B3">
      <w:pPr>
        <w:pStyle w:val="BodyText"/>
        <w:rPr>
          <w:rFonts w:cs="Arial"/>
          <w:szCs w:val="22"/>
        </w:rPr>
      </w:pPr>
    </w:p>
    <w:p w14:paraId="5C11FF46" w14:textId="0E1A4D45" w:rsidR="00001607" w:rsidRPr="00A814FC" w:rsidRDefault="00CF22BD" w:rsidP="007953B3">
      <w:pPr>
        <w:pStyle w:val="BodyText"/>
        <w:rPr>
          <w:rFonts w:cs="Arial"/>
          <w:caps/>
          <w:szCs w:val="22"/>
        </w:rPr>
      </w:pPr>
      <w:r>
        <w:rPr>
          <w:rFonts w:cs="Arial"/>
          <w:szCs w:val="22"/>
        </w:rPr>
        <w:t xml:space="preserve">Consolidated Technology Services (CTS) is now required by section 151(12) of the </w:t>
      </w:r>
      <w:hyperlink r:id="rId11" w:history="1">
        <w:r w:rsidRPr="00CF22BD">
          <w:rPr>
            <w:rStyle w:val="Hyperlink"/>
            <w:rFonts w:cs="Arial"/>
            <w:szCs w:val="22"/>
          </w:rPr>
          <w:t>2021-23 Operating Budget</w:t>
        </w:r>
      </w:hyperlink>
      <w:r>
        <w:rPr>
          <w:rFonts w:cs="Arial"/>
          <w:szCs w:val="22"/>
        </w:rPr>
        <w:t xml:space="preserve"> to collaborate on this report with DES and provide Apptio data and an analysis by </w:t>
      </w:r>
      <w:r w:rsidR="00E90F75">
        <w:rPr>
          <w:rFonts w:cs="Arial"/>
          <w:szCs w:val="22"/>
        </w:rPr>
        <w:t xml:space="preserve">Sept. </w:t>
      </w:r>
      <w:r>
        <w:rPr>
          <w:rFonts w:cs="Arial"/>
          <w:szCs w:val="22"/>
        </w:rPr>
        <w:t xml:space="preserve">1 each year for all agencies. </w:t>
      </w:r>
    </w:p>
    <w:p w14:paraId="2CA8D263" w14:textId="77777777" w:rsidR="00C02E43" w:rsidRPr="000F697B" w:rsidRDefault="00C02E43" w:rsidP="007953B3">
      <w:pPr>
        <w:pStyle w:val="BodyText"/>
        <w:rPr>
          <w:rFonts w:cs="Arial"/>
          <w:szCs w:val="22"/>
        </w:rPr>
      </w:pPr>
    </w:p>
    <w:p w14:paraId="12EDD872" w14:textId="455D0834" w:rsidR="00320FE3" w:rsidRDefault="00C02E43" w:rsidP="007953B3">
      <w:pPr>
        <w:pStyle w:val="BodyText"/>
        <w:rPr>
          <w:rFonts w:cs="Arial"/>
          <w:szCs w:val="22"/>
        </w:rPr>
      </w:pPr>
      <w:r w:rsidRPr="000F697B">
        <w:rPr>
          <w:rFonts w:cs="Arial"/>
          <w:szCs w:val="22"/>
        </w:rPr>
        <w:t xml:space="preserve">This is the </w:t>
      </w:r>
      <w:r w:rsidR="003C39D5">
        <w:rPr>
          <w:rFonts w:cs="Arial"/>
          <w:szCs w:val="22"/>
        </w:rPr>
        <w:t>third</w:t>
      </w:r>
      <w:r w:rsidRPr="000F697B">
        <w:rPr>
          <w:rFonts w:cs="Arial"/>
          <w:szCs w:val="22"/>
        </w:rPr>
        <w:t xml:space="preserve"> year DES </w:t>
      </w:r>
      <w:r w:rsidR="00D240F9">
        <w:rPr>
          <w:rFonts w:cs="Arial"/>
          <w:szCs w:val="22"/>
        </w:rPr>
        <w:t>i</w:t>
      </w:r>
      <w:r w:rsidR="00D240F9" w:rsidRPr="000F697B">
        <w:rPr>
          <w:rFonts w:cs="Arial"/>
          <w:szCs w:val="22"/>
        </w:rPr>
        <w:t xml:space="preserve">s </w:t>
      </w:r>
      <w:r w:rsidRPr="000F697B">
        <w:rPr>
          <w:rFonts w:cs="Arial"/>
          <w:szCs w:val="22"/>
        </w:rPr>
        <w:t xml:space="preserve">required to submit this report. </w:t>
      </w:r>
      <w:r w:rsidR="004B1DF0" w:rsidRPr="000F697B">
        <w:rPr>
          <w:rFonts w:cs="Arial"/>
          <w:szCs w:val="22"/>
        </w:rPr>
        <w:t xml:space="preserve">This report </w:t>
      </w:r>
      <w:r w:rsidR="00C93D91" w:rsidRPr="000F697B">
        <w:rPr>
          <w:rFonts w:cs="Arial"/>
          <w:szCs w:val="22"/>
        </w:rPr>
        <w:t>provides a narrative</w:t>
      </w:r>
      <w:r w:rsidR="00D05F68" w:rsidRPr="000F697B">
        <w:rPr>
          <w:rFonts w:cs="Arial"/>
          <w:szCs w:val="22"/>
        </w:rPr>
        <w:t xml:space="preserve"> and analysis </w:t>
      </w:r>
      <w:r w:rsidR="00BC2230" w:rsidRPr="000F697B">
        <w:rPr>
          <w:rFonts w:cs="Arial"/>
          <w:szCs w:val="22"/>
        </w:rPr>
        <w:t>o</w:t>
      </w:r>
      <w:r w:rsidR="00BC2230">
        <w:rPr>
          <w:rFonts w:cs="Arial"/>
          <w:szCs w:val="22"/>
        </w:rPr>
        <w:t>f</w:t>
      </w:r>
      <w:r w:rsidR="00BC2230" w:rsidRPr="000F697B">
        <w:rPr>
          <w:rFonts w:cs="Arial"/>
          <w:szCs w:val="22"/>
        </w:rPr>
        <w:t xml:space="preserve"> </w:t>
      </w:r>
      <w:r w:rsidR="00D05F68" w:rsidRPr="000F697B">
        <w:rPr>
          <w:rFonts w:cs="Arial"/>
          <w:szCs w:val="22"/>
        </w:rPr>
        <w:t>the state’s overall</w:t>
      </w:r>
      <w:r w:rsidR="00C93D91" w:rsidRPr="000F697B">
        <w:rPr>
          <w:rFonts w:cs="Arial"/>
          <w:szCs w:val="22"/>
        </w:rPr>
        <w:t xml:space="preserve"> IT Contracts </w:t>
      </w:r>
      <w:r w:rsidR="00D05F68" w:rsidRPr="000F697B">
        <w:rPr>
          <w:rFonts w:cs="Arial"/>
          <w:szCs w:val="22"/>
        </w:rPr>
        <w:t>portfolio</w:t>
      </w:r>
      <w:r w:rsidR="00C93D91" w:rsidRPr="000F697B">
        <w:rPr>
          <w:rFonts w:cs="Arial"/>
          <w:szCs w:val="22"/>
        </w:rPr>
        <w:t>.</w:t>
      </w:r>
    </w:p>
    <w:p w14:paraId="1D5B4020" w14:textId="77777777" w:rsidR="00543ADA" w:rsidRPr="00733D15" w:rsidRDefault="00D56CC2" w:rsidP="006C790D">
      <w:pPr>
        <w:pStyle w:val="Heading1"/>
        <w:rPr>
          <w:rFonts w:cs="Arial"/>
        </w:rPr>
      </w:pPr>
      <w:r w:rsidRPr="00733D15">
        <w:rPr>
          <w:rFonts w:cs="Arial"/>
        </w:rPr>
        <w:t>T</w:t>
      </w:r>
      <w:r w:rsidR="00543ADA" w:rsidRPr="00733D15">
        <w:rPr>
          <w:rFonts w:cs="Arial"/>
        </w:rPr>
        <w:t>ools</w:t>
      </w:r>
    </w:p>
    <w:p w14:paraId="2893BD0C" w14:textId="0A16FC3F" w:rsidR="004F4805" w:rsidRDefault="00E57FA3" w:rsidP="007953B3">
      <w:pPr>
        <w:pStyle w:val="BodyText"/>
        <w:rPr>
          <w:rFonts w:cs="Arial"/>
          <w:szCs w:val="22"/>
        </w:rPr>
      </w:pPr>
      <w:r w:rsidRPr="000F697B">
        <w:rPr>
          <w:rFonts w:cs="Arial"/>
          <w:szCs w:val="22"/>
        </w:rPr>
        <w:t xml:space="preserve">DES </w:t>
      </w:r>
      <w:r w:rsidR="0060256D" w:rsidRPr="000F697B">
        <w:rPr>
          <w:rFonts w:cs="Arial"/>
          <w:szCs w:val="22"/>
        </w:rPr>
        <w:t>revis</w:t>
      </w:r>
      <w:r w:rsidR="00E22DF2">
        <w:rPr>
          <w:rFonts w:cs="Arial"/>
          <w:szCs w:val="22"/>
        </w:rPr>
        <w:t>ed</w:t>
      </w:r>
      <w:r w:rsidR="0060256D" w:rsidRPr="000F697B">
        <w:rPr>
          <w:rFonts w:cs="Arial"/>
          <w:szCs w:val="22"/>
        </w:rPr>
        <w:t xml:space="preserve"> the </w:t>
      </w:r>
      <w:r w:rsidR="00E22DF2">
        <w:rPr>
          <w:rFonts w:cs="Arial"/>
          <w:szCs w:val="22"/>
        </w:rPr>
        <w:t xml:space="preserve">IT </w:t>
      </w:r>
      <w:r w:rsidR="00E001BA">
        <w:rPr>
          <w:rFonts w:cs="Arial"/>
          <w:szCs w:val="22"/>
        </w:rPr>
        <w:t>c</w:t>
      </w:r>
      <w:r w:rsidR="00E22DF2">
        <w:rPr>
          <w:rFonts w:cs="Arial"/>
          <w:szCs w:val="22"/>
        </w:rPr>
        <w:t xml:space="preserve">ontracts reporting </w:t>
      </w:r>
      <w:r w:rsidRPr="000F697B">
        <w:rPr>
          <w:rFonts w:cs="Arial"/>
          <w:szCs w:val="22"/>
        </w:rPr>
        <w:t xml:space="preserve">template </w:t>
      </w:r>
      <w:r w:rsidR="0060256D" w:rsidRPr="000F697B">
        <w:rPr>
          <w:rFonts w:cs="Arial"/>
          <w:szCs w:val="22"/>
        </w:rPr>
        <w:t>this year</w:t>
      </w:r>
      <w:r w:rsidR="002F0846">
        <w:rPr>
          <w:rFonts w:cs="Arial"/>
          <w:szCs w:val="22"/>
        </w:rPr>
        <w:t xml:space="preserve"> to </w:t>
      </w:r>
      <w:r w:rsidR="002F2339">
        <w:rPr>
          <w:rFonts w:cs="Arial"/>
          <w:szCs w:val="22"/>
        </w:rPr>
        <w:t xml:space="preserve">include conditional formatting that </w:t>
      </w:r>
      <w:r w:rsidR="002F0846">
        <w:rPr>
          <w:rFonts w:cs="Arial"/>
          <w:szCs w:val="22"/>
        </w:rPr>
        <w:t>highlight</w:t>
      </w:r>
      <w:r w:rsidR="00E001BA">
        <w:rPr>
          <w:rFonts w:cs="Arial"/>
          <w:szCs w:val="22"/>
        </w:rPr>
        <w:t>s</w:t>
      </w:r>
      <w:r w:rsidR="002F0846">
        <w:rPr>
          <w:rFonts w:cs="Arial"/>
          <w:szCs w:val="22"/>
        </w:rPr>
        <w:t xml:space="preserve"> errors, </w:t>
      </w:r>
      <w:r w:rsidR="002F2339">
        <w:rPr>
          <w:rFonts w:cs="Arial"/>
          <w:szCs w:val="22"/>
        </w:rPr>
        <w:t>zeros</w:t>
      </w:r>
      <w:r w:rsidR="002F0846">
        <w:rPr>
          <w:rFonts w:cs="Arial"/>
          <w:szCs w:val="22"/>
        </w:rPr>
        <w:t xml:space="preserve">, or </w:t>
      </w:r>
      <w:r w:rsidR="002F2339">
        <w:rPr>
          <w:rFonts w:cs="Arial"/>
          <w:szCs w:val="22"/>
        </w:rPr>
        <w:t>blanks</w:t>
      </w:r>
      <w:r w:rsidR="002F0846">
        <w:rPr>
          <w:rFonts w:cs="Arial"/>
          <w:szCs w:val="22"/>
        </w:rPr>
        <w:t xml:space="preserve"> entered in required fields. </w:t>
      </w:r>
      <w:r w:rsidR="0076307D">
        <w:rPr>
          <w:rFonts w:cs="Arial"/>
          <w:szCs w:val="22"/>
        </w:rPr>
        <w:t xml:space="preserve">The template </w:t>
      </w:r>
      <w:r w:rsidR="00CF22BD">
        <w:rPr>
          <w:rFonts w:cs="Arial"/>
          <w:szCs w:val="22"/>
        </w:rPr>
        <w:t xml:space="preserve">also </w:t>
      </w:r>
      <w:r w:rsidR="0076307D">
        <w:rPr>
          <w:rFonts w:cs="Arial"/>
          <w:szCs w:val="22"/>
        </w:rPr>
        <w:t>included formulas to calculate fiscal years for each contract based on the contract start and end dates entered. Additional tabs were added to t</w:t>
      </w:r>
      <w:r w:rsidR="00CF22BD">
        <w:rPr>
          <w:rFonts w:cs="Arial"/>
          <w:szCs w:val="22"/>
        </w:rPr>
        <w:t>he template workbook that list</w:t>
      </w:r>
      <w:r w:rsidR="0076307D">
        <w:rPr>
          <w:rFonts w:cs="Arial"/>
          <w:szCs w:val="22"/>
        </w:rPr>
        <w:t xml:space="preserve"> the </w:t>
      </w:r>
    </w:p>
    <w:p w14:paraId="2ED7BFB9" w14:textId="77777777" w:rsidR="004F4805" w:rsidRDefault="004F4805" w:rsidP="007953B3">
      <w:pPr>
        <w:pStyle w:val="BodyText"/>
        <w:rPr>
          <w:rFonts w:cs="Arial"/>
          <w:szCs w:val="22"/>
        </w:rPr>
      </w:pPr>
    </w:p>
    <w:p w14:paraId="1BEDC584" w14:textId="2212FF59" w:rsidR="004F4805" w:rsidRDefault="0076307D" w:rsidP="004F4805">
      <w:pPr>
        <w:pStyle w:val="BodyText"/>
        <w:numPr>
          <w:ilvl w:val="0"/>
          <w:numId w:val="50"/>
        </w:numPr>
        <w:rPr>
          <w:rFonts w:cs="Arial"/>
          <w:szCs w:val="22"/>
        </w:rPr>
      </w:pPr>
      <w:r>
        <w:rPr>
          <w:rFonts w:cs="Arial"/>
          <w:szCs w:val="22"/>
        </w:rPr>
        <w:t xml:space="preserve">IT </w:t>
      </w:r>
      <w:r w:rsidR="00375524">
        <w:rPr>
          <w:rFonts w:cs="Arial"/>
          <w:szCs w:val="22"/>
        </w:rPr>
        <w:t>m</w:t>
      </w:r>
      <w:r>
        <w:rPr>
          <w:rFonts w:cs="Arial"/>
          <w:szCs w:val="22"/>
        </w:rPr>
        <w:t xml:space="preserve">aster </w:t>
      </w:r>
      <w:r w:rsidR="00375524">
        <w:rPr>
          <w:rFonts w:cs="Arial"/>
          <w:szCs w:val="22"/>
        </w:rPr>
        <w:t>c</w:t>
      </w:r>
      <w:r>
        <w:rPr>
          <w:rFonts w:cs="Arial"/>
          <w:szCs w:val="22"/>
        </w:rPr>
        <w:t>ontracts and any associated coop</w:t>
      </w:r>
      <w:r w:rsidR="00E001BA">
        <w:rPr>
          <w:rFonts w:cs="Arial"/>
          <w:szCs w:val="22"/>
        </w:rPr>
        <w:t>erative</w:t>
      </w:r>
      <w:r>
        <w:rPr>
          <w:rFonts w:cs="Arial"/>
          <w:szCs w:val="22"/>
        </w:rPr>
        <w:t xml:space="preserve"> with those contracts </w:t>
      </w:r>
    </w:p>
    <w:p w14:paraId="1229A690" w14:textId="5CADCA22" w:rsidR="004F4805" w:rsidRDefault="004F4805" w:rsidP="004F4805">
      <w:pPr>
        <w:pStyle w:val="BodyText"/>
        <w:numPr>
          <w:ilvl w:val="0"/>
          <w:numId w:val="50"/>
        </w:numPr>
        <w:rPr>
          <w:rFonts w:cs="Arial"/>
          <w:szCs w:val="22"/>
        </w:rPr>
      </w:pPr>
      <w:r>
        <w:rPr>
          <w:rFonts w:cs="Arial"/>
          <w:szCs w:val="22"/>
        </w:rPr>
        <w:t>A</w:t>
      </w:r>
      <w:r w:rsidR="0076307D">
        <w:rPr>
          <w:rFonts w:cs="Arial"/>
          <w:szCs w:val="22"/>
        </w:rPr>
        <w:t xml:space="preserve"> list of the 2020 contractor names </w:t>
      </w:r>
    </w:p>
    <w:p w14:paraId="66FA6C95" w14:textId="63F80383" w:rsidR="004F4805" w:rsidRDefault="004F4805" w:rsidP="004F4805">
      <w:pPr>
        <w:pStyle w:val="BodyText"/>
        <w:numPr>
          <w:ilvl w:val="0"/>
          <w:numId w:val="50"/>
        </w:numPr>
        <w:rPr>
          <w:rFonts w:cs="Arial"/>
          <w:szCs w:val="22"/>
        </w:rPr>
      </w:pPr>
      <w:r>
        <w:rPr>
          <w:rFonts w:cs="Arial"/>
          <w:szCs w:val="22"/>
        </w:rPr>
        <w:t>T</w:t>
      </w:r>
      <w:r w:rsidR="00CF22BD">
        <w:rPr>
          <w:rFonts w:cs="Arial"/>
          <w:szCs w:val="22"/>
        </w:rPr>
        <w:t xml:space="preserve">he </w:t>
      </w:r>
      <w:r w:rsidR="0076307D">
        <w:rPr>
          <w:rFonts w:cs="Arial"/>
          <w:szCs w:val="22"/>
        </w:rPr>
        <w:t>list of agency number</w:t>
      </w:r>
      <w:r w:rsidR="00CF22BD">
        <w:rPr>
          <w:rFonts w:cs="Arial"/>
          <w:szCs w:val="22"/>
        </w:rPr>
        <w:t>s</w:t>
      </w:r>
      <w:r w:rsidR="0076307D">
        <w:rPr>
          <w:rFonts w:cs="Arial"/>
          <w:szCs w:val="22"/>
        </w:rPr>
        <w:t xml:space="preserve"> and names required to complete the report </w:t>
      </w:r>
    </w:p>
    <w:p w14:paraId="7A53D07D" w14:textId="213C482C" w:rsidR="004F4805" w:rsidRDefault="004F4805" w:rsidP="004F4805">
      <w:pPr>
        <w:pStyle w:val="BodyText"/>
        <w:numPr>
          <w:ilvl w:val="0"/>
          <w:numId w:val="50"/>
        </w:numPr>
        <w:rPr>
          <w:rFonts w:cs="Arial"/>
          <w:szCs w:val="22"/>
        </w:rPr>
      </w:pPr>
      <w:r>
        <w:rPr>
          <w:rFonts w:cs="Arial"/>
          <w:szCs w:val="22"/>
        </w:rPr>
        <w:t>E</w:t>
      </w:r>
      <w:r w:rsidR="0076307D">
        <w:rPr>
          <w:rFonts w:cs="Arial"/>
          <w:szCs w:val="22"/>
        </w:rPr>
        <w:t xml:space="preserve">xamples of contract amount explanations </w:t>
      </w:r>
    </w:p>
    <w:p w14:paraId="0F287A7C" w14:textId="20A9891E" w:rsidR="004F4805" w:rsidRDefault="004F4805" w:rsidP="004F4805">
      <w:pPr>
        <w:pStyle w:val="BodyText"/>
        <w:numPr>
          <w:ilvl w:val="0"/>
          <w:numId w:val="50"/>
        </w:numPr>
        <w:rPr>
          <w:rFonts w:cs="Arial"/>
          <w:szCs w:val="22"/>
        </w:rPr>
      </w:pPr>
      <w:r>
        <w:rPr>
          <w:rFonts w:cs="Arial"/>
          <w:szCs w:val="22"/>
        </w:rPr>
        <w:t>L</w:t>
      </w:r>
      <w:r w:rsidR="0076307D">
        <w:rPr>
          <w:rFonts w:cs="Arial"/>
          <w:szCs w:val="22"/>
        </w:rPr>
        <w:t xml:space="preserve">inks to additional resources. </w:t>
      </w:r>
    </w:p>
    <w:p w14:paraId="674D2C44" w14:textId="77777777" w:rsidR="004F4805" w:rsidRDefault="004F4805" w:rsidP="00C3029D">
      <w:pPr>
        <w:pStyle w:val="BodyText"/>
        <w:ind w:left="720"/>
        <w:rPr>
          <w:rFonts w:cs="Arial"/>
          <w:szCs w:val="22"/>
        </w:rPr>
      </w:pPr>
    </w:p>
    <w:p w14:paraId="7863926A" w14:textId="1EEF8EFC" w:rsidR="00320FE3" w:rsidRDefault="00E57FA3" w:rsidP="004F4805">
      <w:pPr>
        <w:pStyle w:val="BodyText"/>
        <w:rPr>
          <w:rFonts w:cs="Arial"/>
          <w:szCs w:val="22"/>
        </w:rPr>
      </w:pPr>
      <w:r w:rsidRPr="000F697B">
        <w:rPr>
          <w:rFonts w:cs="Arial"/>
          <w:szCs w:val="22"/>
        </w:rPr>
        <w:t xml:space="preserve">DES </w:t>
      </w:r>
      <w:r w:rsidR="0060256D" w:rsidRPr="000F697B">
        <w:rPr>
          <w:rFonts w:cs="Arial"/>
          <w:szCs w:val="22"/>
        </w:rPr>
        <w:t>maintained and updated the</w:t>
      </w:r>
      <w:r w:rsidRPr="000F697B">
        <w:rPr>
          <w:rFonts w:cs="Arial"/>
          <w:szCs w:val="22"/>
        </w:rPr>
        <w:t xml:space="preserve"> FAQ document and training document</w:t>
      </w:r>
      <w:r w:rsidR="0060256D" w:rsidRPr="000F697B">
        <w:rPr>
          <w:rFonts w:cs="Arial"/>
          <w:szCs w:val="22"/>
        </w:rPr>
        <w:t>s for agencies to reference as they were compiling their reports</w:t>
      </w:r>
      <w:r w:rsidR="00900826">
        <w:rPr>
          <w:rFonts w:cs="Arial"/>
          <w:szCs w:val="22"/>
        </w:rPr>
        <w:t>. It also</w:t>
      </w:r>
      <w:r w:rsidR="00CF22BD">
        <w:rPr>
          <w:rFonts w:cs="Arial"/>
          <w:szCs w:val="22"/>
        </w:rPr>
        <w:t xml:space="preserve"> </w:t>
      </w:r>
      <w:r w:rsidRPr="000F697B">
        <w:rPr>
          <w:rFonts w:cs="Arial"/>
          <w:szCs w:val="22"/>
        </w:rPr>
        <w:t xml:space="preserve">supplied agencies with a list of IT </w:t>
      </w:r>
      <w:r w:rsidR="00E001BA">
        <w:rPr>
          <w:rFonts w:cs="Arial"/>
          <w:szCs w:val="22"/>
        </w:rPr>
        <w:t>m</w:t>
      </w:r>
      <w:r w:rsidRPr="000F697B">
        <w:rPr>
          <w:rFonts w:cs="Arial"/>
          <w:szCs w:val="22"/>
        </w:rPr>
        <w:t xml:space="preserve">aster </w:t>
      </w:r>
      <w:r w:rsidR="00E001BA">
        <w:rPr>
          <w:rFonts w:cs="Arial"/>
          <w:szCs w:val="22"/>
        </w:rPr>
        <w:t>c</w:t>
      </w:r>
      <w:r w:rsidRPr="000F697B">
        <w:rPr>
          <w:rFonts w:cs="Arial"/>
          <w:szCs w:val="22"/>
        </w:rPr>
        <w:t xml:space="preserve">ontracts </w:t>
      </w:r>
      <w:r w:rsidR="00900826">
        <w:rPr>
          <w:rFonts w:cs="Arial"/>
          <w:szCs w:val="22"/>
        </w:rPr>
        <w:t>and</w:t>
      </w:r>
      <w:r w:rsidR="0060256D" w:rsidRPr="000F697B">
        <w:rPr>
          <w:rFonts w:cs="Arial"/>
          <w:szCs w:val="22"/>
        </w:rPr>
        <w:t xml:space="preserve"> the vendor reported spend </w:t>
      </w:r>
      <w:r w:rsidRPr="000F697B">
        <w:rPr>
          <w:rFonts w:cs="Arial"/>
          <w:szCs w:val="22"/>
        </w:rPr>
        <w:t xml:space="preserve">so they could </w:t>
      </w:r>
      <w:r w:rsidR="0060256D" w:rsidRPr="000F697B">
        <w:rPr>
          <w:rFonts w:cs="Arial"/>
          <w:szCs w:val="22"/>
        </w:rPr>
        <w:t xml:space="preserve">more easily and accurately </w:t>
      </w:r>
      <w:r w:rsidRPr="000F697B">
        <w:rPr>
          <w:rFonts w:cs="Arial"/>
          <w:szCs w:val="22"/>
        </w:rPr>
        <w:t xml:space="preserve">report their </w:t>
      </w:r>
      <w:r w:rsidR="0060256D" w:rsidRPr="000F697B">
        <w:rPr>
          <w:rFonts w:cs="Arial"/>
          <w:szCs w:val="22"/>
        </w:rPr>
        <w:lastRenderedPageBreak/>
        <w:t>use of master contract</w:t>
      </w:r>
      <w:r w:rsidR="00144E49" w:rsidRPr="000F697B">
        <w:rPr>
          <w:rFonts w:cs="Arial"/>
          <w:szCs w:val="22"/>
        </w:rPr>
        <w:t>s</w:t>
      </w:r>
      <w:r w:rsidRPr="000F697B">
        <w:rPr>
          <w:rFonts w:cs="Arial"/>
          <w:szCs w:val="22"/>
        </w:rPr>
        <w:t>. All documents reference</w:t>
      </w:r>
      <w:r w:rsidR="00C93D91" w:rsidRPr="000F697B">
        <w:rPr>
          <w:rFonts w:cs="Arial"/>
          <w:szCs w:val="22"/>
        </w:rPr>
        <w:t>d</w:t>
      </w:r>
      <w:r w:rsidRPr="000F697B">
        <w:rPr>
          <w:rFonts w:cs="Arial"/>
          <w:szCs w:val="22"/>
        </w:rPr>
        <w:t xml:space="preserve"> may be found on the </w:t>
      </w:r>
      <w:hyperlink r:id="rId12" w:history="1">
        <w:r w:rsidRPr="000F697B">
          <w:rPr>
            <w:rStyle w:val="Hyperlink"/>
            <w:rFonts w:cs="Arial"/>
            <w:szCs w:val="22"/>
          </w:rPr>
          <w:t>IT Contracts Reporting Webpage</w:t>
        </w:r>
      </w:hyperlink>
      <w:r w:rsidRPr="000F697B">
        <w:rPr>
          <w:rFonts w:cs="Arial"/>
          <w:szCs w:val="22"/>
        </w:rPr>
        <w:t>.</w:t>
      </w:r>
      <w:r w:rsidR="00E42ED5" w:rsidRPr="000F697B">
        <w:rPr>
          <w:rFonts w:cs="Arial"/>
          <w:szCs w:val="22"/>
        </w:rPr>
        <w:t xml:space="preserve"> </w:t>
      </w:r>
    </w:p>
    <w:p w14:paraId="3B7799AC" w14:textId="77777777" w:rsidR="00061BF8" w:rsidRDefault="00061BF8" w:rsidP="007953B3">
      <w:pPr>
        <w:pStyle w:val="BodyText"/>
        <w:rPr>
          <w:rFonts w:cs="Arial"/>
          <w:szCs w:val="22"/>
        </w:rPr>
      </w:pPr>
    </w:p>
    <w:p w14:paraId="1F7A4C44" w14:textId="448798E7" w:rsidR="00514954" w:rsidRPr="000F697B" w:rsidRDefault="00514954" w:rsidP="00514954">
      <w:pPr>
        <w:pStyle w:val="BodyText"/>
        <w:rPr>
          <w:rFonts w:cs="Arial"/>
          <w:szCs w:val="22"/>
        </w:rPr>
      </w:pPr>
      <w:r w:rsidRPr="000F697B">
        <w:rPr>
          <w:rFonts w:cs="Arial"/>
          <w:szCs w:val="22"/>
        </w:rPr>
        <w:t xml:space="preserve">In </w:t>
      </w:r>
      <w:r>
        <w:rPr>
          <w:rFonts w:cs="Arial"/>
          <w:szCs w:val="22"/>
        </w:rPr>
        <w:t>June</w:t>
      </w:r>
      <w:r w:rsidRPr="000F697B">
        <w:rPr>
          <w:rFonts w:cs="Arial"/>
          <w:szCs w:val="22"/>
        </w:rPr>
        <w:t xml:space="preserve"> 202</w:t>
      </w:r>
      <w:r>
        <w:rPr>
          <w:rFonts w:cs="Arial"/>
          <w:szCs w:val="22"/>
        </w:rPr>
        <w:t>1,</w:t>
      </w:r>
      <w:r w:rsidRPr="000F697B">
        <w:rPr>
          <w:rFonts w:cs="Arial"/>
          <w:szCs w:val="22"/>
        </w:rPr>
        <w:t xml:space="preserve"> DES held </w:t>
      </w:r>
      <w:r>
        <w:rPr>
          <w:rFonts w:cs="Arial"/>
          <w:szCs w:val="22"/>
        </w:rPr>
        <w:t>a training for both IT Contract Reporting and Agency Contracts Reporting. Approximately 125 people attended the training</w:t>
      </w:r>
      <w:r w:rsidRPr="000F697B">
        <w:rPr>
          <w:rFonts w:cs="Arial"/>
          <w:szCs w:val="22"/>
        </w:rPr>
        <w:t xml:space="preserve"> from agencies and institutions of higher education. This </w:t>
      </w:r>
      <w:r>
        <w:rPr>
          <w:rFonts w:cs="Arial"/>
          <w:szCs w:val="22"/>
        </w:rPr>
        <w:t>training</w:t>
      </w:r>
      <w:r w:rsidRPr="000F697B">
        <w:rPr>
          <w:rFonts w:cs="Arial"/>
          <w:szCs w:val="22"/>
        </w:rPr>
        <w:t xml:space="preserve"> </w:t>
      </w:r>
      <w:r>
        <w:rPr>
          <w:rFonts w:cs="Arial"/>
          <w:szCs w:val="22"/>
        </w:rPr>
        <w:t>allowed agencies</w:t>
      </w:r>
      <w:r w:rsidRPr="000F697B">
        <w:rPr>
          <w:rFonts w:cs="Arial"/>
          <w:szCs w:val="22"/>
        </w:rPr>
        <w:t xml:space="preserve"> to ask questions and DES to clarify expectations. It was</w:t>
      </w:r>
      <w:r>
        <w:rPr>
          <w:rFonts w:cs="Arial"/>
          <w:szCs w:val="22"/>
        </w:rPr>
        <w:t xml:space="preserve"> </w:t>
      </w:r>
      <w:r w:rsidRPr="000F697B">
        <w:rPr>
          <w:rFonts w:cs="Arial"/>
          <w:szCs w:val="22"/>
        </w:rPr>
        <w:t>communicated to agencies that for their reports to be accepted, the following criteria must be met:</w:t>
      </w:r>
    </w:p>
    <w:p w14:paraId="31CC8D71" w14:textId="77777777" w:rsidR="00514954" w:rsidRDefault="00514954" w:rsidP="00514954">
      <w:pPr>
        <w:pStyle w:val="BodyText"/>
        <w:rPr>
          <w:rFonts w:cs="Arial"/>
          <w:szCs w:val="22"/>
        </w:rPr>
      </w:pPr>
    </w:p>
    <w:p w14:paraId="0F5AFF7F" w14:textId="77777777" w:rsidR="00514954" w:rsidRDefault="00514954" w:rsidP="00514954">
      <w:pPr>
        <w:pStyle w:val="BodyText"/>
        <w:numPr>
          <w:ilvl w:val="0"/>
          <w:numId w:val="31"/>
        </w:numPr>
        <w:rPr>
          <w:rFonts w:cs="Arial"/>
          <w:szCs w:val="22"/>
        </w:rPr>
      </w:pPr>
      <w:r w:rsidRPr="000F697B">
        <w:rPr>
          <w:rFonts w:cs="Arial"/>
          <w:szCs w:val="22"/>
        </w:rPr>
        <w:t>Fill out ALL required fields. Do not leave any blanks in the required fields.</w:t>
      </w:r>
    </w:p>
    <w:p w14:paraId="31085DA4" w14:textId="77777777" w:rsidR="00514954" w:rsidRPr="000F697B" w:rsidRDefault="00514954" w:rsidP="00514954">
      <w:pPr>
        <w:pStyle w:val="BodyText"/>
        <w:numPr>
          <w:ilvl w:val="0"/>
          <w:numId w:val="31"/>
        </w:numPr>
        <w:rPr>
          <w:rFonts w:cs="Arial"/>
          <w:szCs w:val="22"/>
        </w:rPr>
      </w:pPr>
      <w:r>
        <w:rPr>
          <w:rFonts w:cs="Arial"/>
          <w:szCs w:val="22"/>
        </w:rPr>
        <w:t xml:space="preserve">Report the DES master contract number for all DES master contract purchases. </w:t>
      </w:r>
    </w:p>
    <w:p w14:paraId="28FD2064" w14:textId="77777777" w:rsidR="00514954" w:rsidRPr="000F697B" w:rsidRDefault="00514954" w:rsidP="00514954">
      <w:pPr>
        <w:pStyle w:val="BodyText"/>
        <w:numPr>
          <w:ilvl w:val="0"/>
          <w:numId w:val="31"/>
        </w:numPr>
        <w:rPr>
          <w:rFonts w:cs="Arial"/>
          <w:szCs w:val="22"/>
        </w:rPr>
      </w:pPr>
      <w:r w:rsidRPr="000F697B">
        <w:rPr>
          <w:rFonts w:cs="Arial"/>
          <w:szCs w:val="22"/>
        </w:rPr>
        <w:t>Fill in the amount columns for every year the contract is active. DES will be checking to see if the amount columns are filled in for the contract start and end dates entered in the report.</w:t>
      </w:r>
    </w:p>
    <w:p w14:paraId="11D05E91" w14:textId="77777777" w:rsidR="00514954" w:rsidRPr="000F697B" w:rsidRDefault="00514954" w:rsidP="00514954">
      <w:pPr>
        <w:pStyle w:val="BodyText"/>
        <w:numPr>
          <w:ilvl w:val="0"/>
          <w:numId w:val="31"/>
        </w:numPr>
        <w:rPr>
          <w:rFonts w:cs="Arial"/>
          <w:szCs w:val="22"/>
        </w:rPr>
      </w:pPr>
      <w:r w:rsidRPr="000F697B">
        <w:rPr>
          <w:rFonts w:cs="Arial"/>
          <w:szCs w:val="22"/>
        </w:rPr>
        <w:t xml:space="preserve">Only </w:t>
      </w:r>
      <w:r>
        <w:rPr>
          <w:rFonts w:cs="Arial"/>
          <w:szCs w:val="22"/>
        </w:rPr>
        <w:t xml:space="preserve">report </w:t>
      </w:r>
      <w:r w:rsidRPr="000F697B">
        <w:rPr>
          <w:rFonts w:cs="Arial"/>
          <w:szCs w:val="22"/>
        </w:rPr>
        <w:t>numerical figures in the amount columns. Any notes should be entered in</w:t>
      </w:r>
      <w:r>
        <w:rPr>
          <w:rFonts w:cs="Arial"/>
          <w:szCs w:val="22"/>
        </w:rPr>
        <w:t>to</w:t>
      </w:r>
      <w:r w:rsidRPr="000F697B">
        <w:rPr>
          <w:rFonts w:cs="Arial"/>
          <w:szCs w:val="22"/>
        </w:rPr>
        <w:t xml:space="preserve"> the contract amount explanation field.</w:t>
      </w:r>
    </w:p>
    <w:p w14:paraId="01C8AA09" w14:textId="77777777" w:rsidR="00514954" w:rsidRPr="000F697B" w:rsidRDefault="00514954" w:rsidP="00514954">
      <w:pPr>
        <w:pStyle w:val="BodyText"/>
        <w:numPr>
          <w:ilvl w:val="0"/>
          <w:numId w:val="31"/>
        </w:numPr>
        <w:rPr>
          <w:rFonts w:cs="Arial"/>
          <w:szCs w:val="22"/>
        </w:rPr>
      </w:pPr>
      <w:r w:rsidRPr="000F697B">
        <w:rPr>
          <w:rFonts w:cs="Arial"/>
          <w:szCs w:val="22"/>
        </w:rPr>
        <w:t>The tower fields must be entered as percentages and the total percentage column must equal 100%.</w:t>
      </w:r>
    </w:p>
    <w:p w14:paraId="1EF4D5B6" w14:textId="77777777" w:rsidR="00543ADA" w:rsidRPr="000F697B" w:rsidRDefault="007277DA" w:rsidP="00543ADA">
      <w:pPr>
        <w:pStyle w:val="Heading1"/>
        <w:rPr>
          <w:rFonts w:cs="Arial"/>
        </w:rPr>
      </w:pPr>
      <w:r w:rsidRPr="000F697B">
        <w:rPr>
          <w:rFonts w:cs="Arial"/>
        </w:rPr>
        <w:t>Challenges</w:t>
      </w:r>
    </w:p>
    <w:p w14:paraId="31B75B7E" w14:textId="663FC25D" w:rsidR="007277DA" w:rsidRPr="000F697B" w:rsidRDefault="007F2E01" w:rsidP="007277DA">
      <w:pPr>
        <w:pStyle w:val="BodyText"/>
        <w:rPr>
          <w:rFonts w:cs="Arial"/>
          <w:szCs w:val="22"/>
        </w:rPr>
      </w:pPr>
      <w:r w:rsidRPr="000F697B">
        <w:rPr>
          <w:rFonts w:cs="Arial"/>
          <w:szCs w:val="22"/>
        </w:rPr>
        <w:t>There were t</w:t>
      </w:r>
      <w:r w:rsidR="006D15F8" w:rsidRPr="000F697B">
        <w:rPr>
          <w:rFonts w:cs="Arial"/>
          <w:szCs w:val="22"/>
        </w:rPr>
        <w:t>hree</w:t>
      </w:r>
      <w:r w:rsidR="00E80A99">
        <w:rPr>
          <w:rFonts w:cs="Arial"/>
          <w:szCs w:val="22"/>
        </w:rPr>
        <w:t xml:space="preserve"> (3)</w:t>
      </w:r>
      <w:r w:rsidRPr="000F697B">
        <w:rPr>
          <w:rFonts w:cs="Arial"/>
          <w:szCs w:val="22"/>
        </w:rPr>
        <w:t xml:space="preserve"> main</w:t>
      </w:r>
      <w:r w:rsidR="00E57FA3" w:rsidRPr="000F697B">
        <w:rPr>
          <w:rFonts w:cs="Arial"/>
          <w:szCs w:val="22"/>
        </w:rPr>
        <w:t xml:space="preserve"> challenges agencies faced when meeting </w:t>
      </w:r>
      <w:r w:rsidR="00061BF8">
        <w:rPr>
          <w:rFonts w:cs="Arial"/>
          <w:szCs w:val="22"/>
        </w:rPr>
        <w:t>report requirements</w:t>
      </w:r>
      <w:r w:rsidR="00E57FA3" w:rsidRPr="000F697B">
        <w:rPr>
          <w:rFonts w:cs="Arial"/>
          <w:szCs w:val="22"/>
        </w:rPr>
        <w:t>:</w:t>
      </w:r>
    </w:p>
    <w:p w14:paraId="623DC956" w14:textId="77777777" w:rsidR="00C93D91" w:rsidRPr="000F697B" w:rsidRDefault="00C93D91" w:rsidP="007277DA">
      <w:pPr>
        <w:pStyle w:val="BodyText"/>
        <w:rPr>
          <w:rFonts w:cs="Arial"/>
          <w:szCs w:val="22"/>
        </w:rPr>
      </w:pPr>
    </w:p>
    <w:p w14:paraId="7761DCE7" w14:textId="05A5DCEE" w:rsidR="00C93D91" w:rsidRDefault="004B2DF7" w:rsidP="00825F06">
      <w:pPr>
        <w:pStyle w:val="BodyText"/>
        <w:numPr>
          <w:ilvl w:val="0"/>
          <w:numId w:val="44"/>
        </w:numPr>
        <w:rPr>
          <w:rFonts w:cs="Arial"/>
          <w:szCs w:val="22"/>
        </w:rPr>
      </w:pPr>
      <w:r w:rsidRPr="000F697B">
        <w:rPr>
          <w:rFonts w:cs="Arial"/>
          <w:szCs w:val="22"/>
        </w:rPr>
        <w:t xml:space="preserve">The deadline for </w:t>
      </w:r>
      <w:r w:rsidR="00D50A91" w:rsidRPr="000F697B">
        <w:rPr>
          <w:rFonts w:cs="Arial"/>
          <w:szCs w:val="22"/>
        </w:rPr>
        <w:t xml:space="preserve">agencies to submit their reports </w:t>
      </w:r>
      <w:r w:rsidRPr="000F697B">
        <w:rPr>
          <w:rFonts w:cs="Arial"/>
          <w:szCs w:val="22"/>
        </w:rPr>
        <w:t xml:space="preserve">to DES was </w:t>
      </w:r>
      <w:r w:rsidR="005D4C66" w:rsidRPr="000F697B">
        <w:rPr>
          <w:rFonts w:cs="Arial"/>
          <w:szCs w:val="22"/>
        </w:rPr>
        <w:t>Sept</w:t>
      </w:r>
      <w:r w:rsidR="005D4C66">
        <w:rPr>
          <w:rFonts w:cs="Arial"/>
          <w:szCs w:val="22"/>
        </w:rPr>
        <w:t>.</w:t>
      </w:r>
      <w:r w:rsidR="005D4C66" w:rsidRPr="000F697B">
        <w:rPr>
          <w:rFonts w:cs="Arial"/>
          <w:szCs w:val="22"/>
        </w:rPr>
        <w:t xml:space="preserve"> </w:t>
      </w:r>
      <w:r w:rsidRPr="000F697B">
        <w:rPr>
          <w:rFonts w:cs="Arial"/>
          <w:szCs w:val="22"/>
        </w:rPr>
        <w:t>1, 202</w:t>
      </w:r>
      <w:r w:rsidR="001E0A72">
        <w:rPr>
          <w:rFonts w:cs="Arial"/>
          <w:szCs w:val="22"/>
        </w:rPr>
        <w:t>1</w:t>
      </w:r>
      <w:r w:rsidR="00BC2230">
        <w:rPr>
          <w:rFonts w:cs="Arial"/>
          <w:szCs w:val="22"/>
        </w:rPr>
        <w:t>,</w:t>
      </w:r>
      <w:r w:rsidRPr="000F697B">
        <w:rPr>
          <w:rFonts w:cs="Arial"/>
          <w:szCs w:val="22"/>
        </w:rPr>
        <w:t xml:space="preserve"> </w:t>
      </w:r>
      <w:r w:rsidR="00D50A91" w:rsidRPr="000F697B">
        <w:rPr>
          <w:rFonts w:cs="Arial"/>
          <w:szCs w:val="22"/>
        </w:rPr>
        <w:t>to allow</w:t>
      </w:r>
      <w:r w:rsidRPr="000F697B">
        <w:rPr>
          <w:rFonts w:cs="Arial"/>
          <w:szCs w:val="22"/>
        </w:rPr>
        <w:t xml:space="preserve"> DES the opportunity to provide a more thorough report and analysis to the legislative fiscal committees. </w:t>
      </w:r>
      <w:r w:rsidR="000E73DA">
        <w:rPr>
          <w:rFonts w:cs="Arial"/>
          <w:szCs w:val="22"/>
        </w:rPr>
        <w:t>About 60</w:t>
      </w:r>
      <w:r w:rsidRPr="000F697B">
        <w:rPr>
          <w:rFonts w:cs="Arial"/>
          <w:szCs w:val="22"/>
        </w:rPr>
        <w:t>%</w:t>
      </w:r>
      <w:r w:rsidR="00825F06" w:rsidRPr="000F697B">
        <w:rPr>
          <w:rFonts w:cs="Arial"/>
          <w:szCs w:val="22"/>
        </w:rPr>
        <w:t xml:space="preserve"> of agencies successfully met the </w:t>
      </w:r>
      <w:r w:rsidR="000E73DA" w:rsidRPr="000F697B">
        <w:rPr>
          <w:rFonts w:cs="Arial"/>
          <w:szCs w:val="22"/>
        </w:rPr>
        <w:t>deadline</w:t>
      </w:r>
      <w:r w:rsidR="000E73DA">
        <w:rPr>
          <w:rFonts w:cs="Arial"/>
          <w:szCs w:val="22"/>
        </w:rPr>
        <w:t>, which is a vast improvement from the 34% of agencies that met the deadline in 2020</w:t>
      </w:r>
      <w:r w:rsidR="00825F06" w:rsidRPr="000F697B">
        <w:rPr>
          <w:rFonts w:cs="Arial"/>
          <w:szCs w:val="22"/>
        </w:rPr>
        <w:t>.</w:t>
      </w:r>
    </w:p>
    <w:p w14:paraId="226F6682" w14:textId="77777777" w:rsidR="001E0A72" w:rsidRPr="000F697B" w:rsidRDefault="001E0A72" w:rsidP="001E0A72">
      <w:pPr>
        <w:pStyle w:val="BodyText"/>
        <w:ind w:left="720"/>
        <w:rPr>
          <w:rFonts w:cs="Arial"/>
          <w:szCs w:val="22"/>
        </w:rPr>
      </w:pPr>
    </w:p>
    <w:p w14:paraId="00648302" w14:textId="2EB4C492" w:rsidR="00390FFE" w:rsidRDefault="001E0A72" w:rsidP="00825F06">
      <w:pPr>
        <w:pStyle w:val="BodyText"/>
        <w:numPr>
          <w:ilvl w:val="0"/>
          <w:numId w:val="44"/>
        </w:numPr>
        <w:rPr>
          <w:rFonts w:cs="Arial"/>
          <w:szCs w:val="22"/>
        </w:rPr>
      </w:pPr>
      <w:r>
        <w:rPr>
          <w:rFonts w:cs="Arial"/>
          <w:szCs w:val="22"/>
        </w:rPr>
        <w:t xml:space="preserve">DES increased the rigor around acceptance of the reports, including requiring agencies to use a list of provided </w:t>
      </w:r>
      <w:r w:rsidR="00193DCB">
        <w:rPr>
          <w:rFonts w:cs="Arial"/>
          <w:szCs w:val="22"/>
        </w:rPr>
        <w:t xml:space="preserve">contractor </w:t>
      </w:r>
      <w:r>
        <w:rPr>
          <w:rFonts w:cs="Arial"/>
          <w:szCs w:val="22"/>
        </w:rPr>
        <w:t xml:space="preserve">names and using the DES </w:t>
      </w:r>
      <w:r w:rsidR="00193DCB">
        <w:rPr>
          <w:rFonts w:cs="Arial"/>
          <w:szCs w:val="22"/>
        </w:rPr>
        <w:t>m</w:t>
      </w:r>
      <w:r>
        <w:rPr>
          <w:rFonts w:cs="Arial"/>
          <w:szCs w:val="22"/>
        </w:rPr>
        <w:t xml:space="preserve">aster </w:t>
      </w:r>
      <w:r w:rsidR="00193DCB">
        <w:rPr>
          <w:rFonts w:cs="Arial"/>
          <w:szCs w:val="22"/>
        </w:rPr>
        <w:t>c</w:t>
      </w:r>
      <w:r>
        <w:rPr>
          <w:rFonts w:cs="Arial"/>
          <w:szCs w:val="22"/>
        </w:rPr>
        <w:t xml:space="preserve">ontract number for all contracts marked as a </w:t>
      </w:r>
      <w:r w:rsidR="00193DCB">
        <w:rPr>
          <w:rFonts w:cs="Arial"/>
          <w:szCs w:val="22"/>
        </w:rPr>
        <w:t>m</w:t>
      </w:r>
      <w:r>
        <w:rPr>
          <w:rFonts w:cs="Arial"/>
          <w:szCs w:val="22"/>
        </w:rPr>
        <w:t xml:space="preserve">aster </w:t>
      </w:r>
      <w:r w:rsidR="00193DCB">
        <w:rPr>
          <w:rFonts w:cs="Arial"/>
          <w:szCs w:val="22"/>
        </w:rPr>
        <w:t>c</w:t>
      </w:r>
      <w:r>
        <w:rPr>
          <w:rFonts w:cs="Arial"/>
          <w:szCs w:val="22"/>
        </w:rPr>
        <w:t xml:space="preserve">ontract purchase. While these efforts improved the time to scrub the data and complete the analysis, </w:t>
      </w:r>
      <w:r w:rsidR="00C75874">
        <w:rPr>
          <w:rFonts w:cs="Arial"/>
          <w:szCs w:val="22"/>
        </w:rPr>
        <w:t>it did result in more reports being returned to agencies for corrections.</w:t>
      </w:r>
      <w:r w:rsidRPr="001E0A72">
        <w:rPr>
          <w:rFonts w:cs="Arial"/>
          <w:szCs w:val="22"/>
        </w:rPr>
        <w:t xml:space="preserve"> </w:t>
      </w:r>
    </w:p>
    <w:p w14:paraId="7CF7AD5D" w14:textId="6E9F35EB" w:rsidR="001E0A72" w:rsidRPr="001E0A72" w:rsidRDefault="001E0A72" w:rsidP="001E0A72">
      <w:pPr>
        <w:ind w:left="820" w:hanging="360"/>
        <w:rPr>
          <w:rFonts w:cs="Arial"/>
          <w:szCs w:val="22"/>
        </w:rPr>
      </w:pPr>
    </w:p>
    <w:p w14:paraId="2B028539" w14:textId="0710E25B" w:rsidR="007F2E01" w:rsidRPr="001E0A72" w:rsidRDefault="00825F06" w:rsidP="00E57FA3">
      <w:pPr>
        <w:pStyle w:val="BodyText"/>
        <w:numPr>
          <w:ilvl w:val="0"/>
          <w:numId w:val="44"/>
        </w:numPr>
        <w:rPr>
          <w:rFonts w:cs="Arial"/>
          <w:szCs w:val="22"/>
        </w:rPr>
      </w:pPr>
      <w:r w:rsidRPr="001E0A72">
        <w:rPr>
          <w:rFonts w:cs="Arial"/>
          <w:szCs w:val="22"/>
        </w:rPr>
        <w:t>Agency submissions</w:t>
      </w:r>
      <w:r w:rsidR="00C93D91" w:rsidRPr="001E0A72">
        <w:rPr>
          <w:rFonts w:cs="Arial"/>
          <w:szCs w:val="22"/>
        </w:rPr>
        <w:t xml:space="preserve"> were </w:t>
      </w:r>
      <w:r w:rsidRPr="001E0A72">
        <w:rPr>
          <w:rFonts w:cs="Arial"/>
          <w:szCs w:val="22"/>
        </w:rPr>
        <w:t xml:space="preserve">not always able to meet the </w:t>
      </w:r>
      <w:r w:rsidR="00C93D91" w:rsidRPr="001E0A72">
        <w:rPr>
          <w:rFonts w:cs="Arial"/>
          <w:szCs w:val="22"/>
        </w:rPr>
        <w:t>require</w:t>
      </w:r>
      <w:r w:rsidRPr="001E0A72">
        <w:rPr>
          <w:rFonts w:cs="Arial"/>
          <w:szCs w:val="22"/>
        </w:rPr>
        <w:t xml:space="preserve">ments due to </w:t>
      </w:r>
      <w:r w:rsidR="00796ACB">
        <w:rPr>
          <w:rFonts w:cs="Arial"/>
          <w:szCs w:val="22"/>
        </w:rPr>
        <w:t xml:space="preserve">individual agency </w:t>
      </w:r>
      <w:r w:rsidRPr="001E0A72">
        <w:rPr>
          <w:rFonts w:cs="Arial"/>
          <w:szCs w:val="22"/>
        </w:rPr>
        <w:t>systems not holding historical data.</w:t>
      </w:r>
    </w:p>
    <w:p w14:paraId="76477153" w14:textId="77777777" w:rsidR="004B1DF0" w:rsidRPr="000F697B" w:rsidRDefault="007277DA" w:rsidP="00077B1D">
      <w:pPr>
        <w:pStyle w:val="Heading1"/>
        <w:rPr>
          <w:rFonts w:cs="Arial"/>
        </w:rPr>
      </w:pPr>
      <w:r w:rsidRPr="000F697B">
        <w:rPr>
          <w:rFonts w:cs="Arial"/>
        </w:rPr>
        <w:t>Data Integrity</w:t>
      </w:r>
    </w:p>
    <w:p w14:paraId="6EA29305" w14:textId="2D732DAD" w:rsidR="00C93D91" w:rsidRPr="00733D15" w:rsidRDefault="0060256D" w:rsidP="007953B3">
      <w:pPr>
        <w:pStyle w:val="BodyText"/>
        <w:rPr>
          <w:rFonts w:cs="Arial"/>
        </w:rPr>
      </w:pPr>
      <w:r w:rsidRPr="000F697B">
        <w:rPr>
          <w:rFonts w:cs="Arial"/>
          <w:szCs w:val="22"/>
        </w:rPr>
        <w:t xml:space="preserve">DES required agencies </w:t>
      </w:r>
      <w:r w:rsidR="00C15B67">
        <w:rPr>
          <w:rFonts w:cs="Arial"/>
          <w:szCs w:val="22"/>
        </w:rPr>
        <w:t xml:space="preserve">to use the </w:t>
      </w:r>
      <w:r w:rsidR="00CA10EA">
        <w:rPr>
          <w:rFonts w:cs="Arial"/>
          <w:szCs w:val="22"/>
        </w:rPr>
        <w:t xml:space="preserve">IT </w:t>
      </w:r>
      <w:r w:rsidR="00193DCB">
        <w:rPr>
          <w:rFonts w:cs="Arial"/>
          <w:szCs w:val="22"/>
        </w:rPr>
        <w:t>m</w:t>
      </w:r>
      <w:r w:rsidR="00CA10EA">
        <w:rPr>
          <w:rFonts w:cs="Arial"/>
          <w:szCs w:val="22"/>
        </w:rPr>
        <w:t xml:space="preserve">aster </w:t>
      </w:r>
      <w:r w:rsidR="00193DCB">
        <w:rPr>
          <w:rFonts w:cs="Arial"/>
          <w:szCs w:val="22"/>
        </w:rPr>
        <w:t>c</w:t>
      </w:r>
      <w:r w:rsidR="00CA10EA">
        <w:rPr>
          <w:rFonts w:cs="Arial"/>
          <w:szCs w:val="22"/>
        </w:rPr>
        <w:t xml:space="preserve">ontract number for contracts marked as DES </w:t>
      </w:r>
      <w:r w:rsidR="00193DCB">
        <w:rPr>
          <w:rFonts w:cs="Arial"/>
          <w:szCs w:val="22"/>
        </w:rPr>
        <w:t>m</w:t>
      </w:r>
      <w:r w:rsidR="00CA10EA">
        <w:rPr>
          <w:rFonts w:cs="Arial"/>
          <w:szCs w:val="22"/>
        </w:rPr>
        <w:t xml:space="preserve">aster </w:t>
      </w:r>
      <w:r w:rsidR="00193DCB">
        <w:rPr>
          <w:rFonts w:cs="Arial"/>
          <w:szCs w:val="22"/>
        </w:rPr>
        <w:t>c</w:t>
      </w:r>
      <w:r w:rsidR="00CA10EA">
        <w:rPr>
          <w:rFonts w:cs="Arial"/>
          <w:szCs w:val="22"/>
        </w:rPr>
        <w:t xml:space="preserve">ontract purchases and to use the contractor names provided in the template workbook. </w:t>
      </w:r>
      <w:r w:rsidRPr="000F697B">
        <w:rPr>
          <w:rFonts w:cs="Arial"/>
          <w:szCs w:val="22"/>
        </w:rPr>
        <w:t xml:space="preserve">DES does not have access to agency contract </w:t>
      </w:r>
      <w:proofErr w:type="gramStart"/>
      <w:r w:rsidRPr="000F697B">
        <w:rPr>
          <w:rFonts w:cs="Arial"/>
          <w:szCs w:val="22"/>
        </w:rPr>
        <w:t>databases</w:t>
      </w:r>
      <w:proofErr w:type="gramEnd"/>
      <w:r w:rsidRPr="000F697B">
        <w:rPr>
          <w:rFonts w:cs="Arial"/>
          <w:szCs w:val="22"/>
        </w:rPr>
        <w:t xml:space="preserve"> </w:t>
      </w:r>
      <w:r w:rsidR="00825F06" w:rsidRPr="000F697B">
        <w:rPr>
          <w:rFonts w:cs="Arial"/>
          <w:szCs w:val="22"/>
        </w:rPr>
        <w:t xml:space="preserve">so </w:t>
      </w:r>
      <w:r w:rsidR="004E3966" w:rsidRPr="000F697B">
        <w:rPr>
          <w:rFonts w:cs="Arial"/>
          <w:szCs w:val="22"/>
        </w:rPr>
        <w:t xml:space="preserve">an audit of the report submissions </w:t>
      </w:r>
      <w:r w:rsidR="00900826">
        <w:rPr>
          <w:rFonts w:cs="Arial"/>
          <w:szCs w:val="22"/>
        </w:rPr>
        <w:t xml:space="preserve">was </w:t>
      </w:r>
      <w:r w:rsidR="004E3966" w:rsidRPr="000F697B">
        <w:rPr>
          <w:rFonts w:cs="Arial"/>
          <w:szCs w:val="22"/>
        </w:rPr>
        <w:t>not possible</w:t>
      </w:r>
      <w:r w:rsidR="00825F06" w:rsidRPr="000F697B">
        <w:rPr>
          <w:rFonts w:cs="Arial"/>
          <w:szCs w:val="22"/>
        </w:rPr>
        <w:t xml:space="preserve">, </w:t>
      </w:r>
      <w:r w:rsidRPr="000F697B">
        <w:rPr>
          <w:rFonts w:cs="Arial"/>
          <w:szCs w:val="22"/>
        </w:rPr>
        <w:t>but there was increased rigor around acceptance of agency reports. For the 20</w:t>
      </w:r>
      <w:r w:rsidR="00FE7D43">
        <w:rPr>
          <w:rFonts w:cs="Arial"/>
          <w:szCs w:val="22"/>
        </w:rPr>
        <w:t>20</w:t>
      </w:r>
      <w:r w:rsidRPr="000F697B">
        <w:rPr>
          <w:rFonts w:cs="Arial"/>
          <w:szCs w:val="22"/>
        </w:rPr>
        <w:t xml:space="preserve"> report, if </w:t>
      </w:r>
      <w:r w:rsidR="007F2E01" w:rsidRPr="000F697B">
        <w:rPr>
          <w:rFonts w:cs="Arial"/>
          <w:szCs w:val="22"/>
        </w:rPr>
        <w:t xml:space="preserve">required columns </w:t>
      </w:r>
      <w:r w:rsidRPr="000F697B">
        <w:rPr>
          <w:rFonts w:cs="Arial"/>
          <w:szCs w:val="22"/>
        </w:rPr>
        <w:t xml:space="preserve">in reports </w:t>
      </w:r>
      <w:r w:rsidR="007F2E01" w:rsidRPr="000F697B">
        <w:rPr>
          <w:rFonts w:cs="Arial"/>
          <w:szCs w:val="22"/>
        </w:rPr>
        <w:t>were blank</w:t>
      </w:r>
      <w:r w:rsidR="004F4805">
        <w:rPr>
          <w:rFonts w:cs="Arial"/>
          <w:szCs w:val="22"/>
        </w:rPr>
        <w:t xml:space="preserve"> —</w:t>
      </w:r>
      <w:r w:rsidR="007F2E01" w:rsidRPr="000F697B">
        <w:rPr>
          <w:rFonts w:cs="Arial"/>
          <w:szCs w:val="22"/>
        </w:rPr>
        <w:t xml:space="preserve"> such as missing contract numbers and/or missing total contract amount</w:t>
      </w:r>
      <w:r w:rsidR="004F4805">
        <w:rPr>
          <w:rFonts w:cs="Arial"/>
          <w:szCs w:val="22"/>
        </w:rPr>
        <w:t xml:space="preserve"> —</w:t>
      </w:r>
      <w:r w:rsidR="007F2E01" w:rsidRPr="000F697B">
        <w:rPr>
          <w:rFonts w:cs="Arial"/>
          <w:szCs w:val="22"/>
        </w:rPr>
        <w:t xml:space="preserve">, DES rejected the agency submission and required resubmission. </w:t>
      </w:r>
      <w:r w:rsidR="00900826">
        <w:rPr>
          <w:rFonts w:cs="Arial"/>
          <w:szCs w:val="22"/>
        </w:rPr>
        <w:t>T</w:t>
      </w:r>
      <w:r w:rsidRPr="000F697B">
        <w:rPr>
          <w:rFonts w:cs="Arial"/>
          <w:szCs w:val="22"/>
        </w:rPr>
        <w:t xml:space="preserve">his year, DES reviewed each contract, the contract </w:t>
      </w:r>
      <w:proofErr w:type="gramStart"/>
      <w:r w:rsidRPr="000F697B">
        <w:rPr>
          <w:rFonts w:cs="Arial"/>
          <w:szCs w:val="22"/>
        </w:rPr>
        <w:t>start</w:t>
      </w:r>
      <w:proofErr w:type="gramEnd"/>
      <w:r w:rsidRPr="000F697B">
        <w:rPr>
          <w:rFonts w:cs="Arial"/>
          <w:szCs w:val="22"/>
        </w:rPr>
        <w:t xml:space="preserve"> and end dates</w:t>
      </w:r>
      <w:r w:rsidR="004B2DF7" w:rsidRPr="000F697B">
        <w:rPr>
          <w:rFonts w:cs="Arial"/>
          <w:szCs w:val="22"/>
        </w:rPr>
        <w:t>,</w:t>
      </w:r>
      <w:r w:rsidRPr="000F697B">
        <w:rPr>
          <w:rFonts w:cs="Arial"/>
          <w:szCs w:val="22"/>
        </w:rPr>
        <w:t xml:space="preserve"> </w:t>
      </w:r>
      <w:r w:rsidR="004B2DF7" w:rsidRPr="000F697B">
        <w:rPr>
          <w:rFonts w:cs="Arial"/>
          <w:szCs w:val="22"/>
        </w:rPr>
        <w:t>and</w:t>
      </w:r>
      <w:r w:rsidRPr="000F697B">
        <w:rPr>
          <w:rFonts w:cs="Arial"/>
          <w:szCs w:val="22"/>
        </w:rPr>
        <w:t xml:space="preserve"> </w:t>
      </w:r>
      <w:r w:rsidR="00BA3A5B">
        <w:rPr>
          <w:rFonts w:cs="Arial"/>
          <w:szCs w:val="22"/>
        </w:rPr>
        <w:t xml:space="preserve">also </w:t>
      </w:r>
      <w:r w:rsidRPr="000F697B">
        <w:rPr>
          <w:rFonts w:cs="Arial"/>
          <w:szCs w:val="22"/>
        </w:rPr>
        <w:t xml:space="preserve">required complete information around the Fiscal Year Amount columns. If an agency did not provide amounts or an explanation </w:t>
      </w:r>
      <w:r w:rsidR="007B00FB">
        <w:rPr>
          <w:rFonts w:cs="Arial"/>
          <w:szCs w:val="22"/>
        </w:rPr>
        <w:t xml:space="preserve">for </w:t>
      </w:r>
      <w:r w:rsidRPr="000F697B">
        <w:rPr>
          <w:rFonts w:cs="Arial"/>
          <w:szCs w:val="22"/>
        </w:rPr>
        <w:t xml:space="preserve">missing Fiscal Year Amount columns during the active dates of a contract, the report was </w:t>
      </w:r>
      <w:proofErr w:type="gramStart"/>
      <w:r w:rsidR="007B00FB" w:rsidRPr="000F697B">
        <w:rPr>
          <w:rFonts w:cs="Arial"/>
          <w:szCs w:val="22"/>
        </w:rPr>
        <w:t>re</w:t>
      </w:r>
      <w:r w:rsidR="007B00FB">
        <w:rPr>
          <w:rFonts w:cs="Arial"/>
          <w:szCs w:val="22"/>
        </w:rPr>
        <w:t>jected</w:t>
      </w:r>
      <w:proofErr w:type="gramEnd"/>
      <w:r w:rsidR="007B00FB" w:rsidRPr="000F697B">
        <w:rPr>
          <w:rFonts w:cs="Arial"/>
          <w:szCs w:val="22"/>
        </w:rPr>
        <w:t xml:space="preserve"> </w:t>
      </w:r>
      <w:r w:rsidR="004B2DF7" w:rsidRPr="000F697B">
        <w:rPr>
          <w:rFonts w:cs="Arial"/>
          <w:szCs w:val="22"/>
        </w:rPr>
        <w:t>and</w:t>
      </w:r>
      <w:r w:rsidR="00BA3A5B">
        <w:rPr>
          <w:rFonts w:cs="Arial"/>
          <w:szCs w:val="22"/>
        </w:rPr>
        <w:t xml:space="preserve"> DES</w:t>
      </w:r>
      <w:r w:rsidR="004B2DF7" w:rsidRPr="000F697B">
        <w:rPr>
          <w:rFonts w:cs="Arial"/>
          <w:szCs w:val="22"/>
        </w:rPr>
        <w:t xml:space="preserve"> required resubmission.</w:t>
      </w:r>
      <w:r w:rsidR="001A2849" w:rsidRPr="000F697B">
        <w:rPr>
          <w:rFonts w:cs="Arial"/>
          <w:szCs w:val="22"/>
        </w:rPr>
        <w:t xml:space="preserve"> </w:t>
      </w:r>
    </w:p>
    <w:p w14:paraId="6DEF28BD" w14:textId="77777777" w:rsidR="00C93D91" w:rsidRPr="008569EB" w:rsidRDefault="008D1A80" w:rsidP="00C93D91">
      <w:pPr>
        <w:pStyle w:val="Heading1"/>
        <w:rPr>
          <w:rFonts w:cs="Arial"/>
        </w:rPr>
      </w:pPr>
      <w:r w:rsidRPr="008569EB">
        <w:rPr>
          <w:rFonts w:cs="Arial"/>
        </w:rPr>
        <w:lastRenderedPageBreak/>
        <w:t>Agency Responsiveness</w:t>
      </w:r>
    </w:p>
    <w:p w14:paraId="547D241A" w14:textId="00EA1B69" w:rsidR="00733D15" w:rsidRPr="000F697B" w:rsidRDefault="00D05F68" w:rsidP="007953B3">
      <w:pPr>
        <w:pStyle w:val="BodyText"/>
        <w:rPr>
          <w:rFonts w:cs="Arial"/>
          <w:szCs w:val="22"/>
        </w:rPr>
      </w:pPr>
      <w:r w:rsidRPr="000F697B">
        <w:rPr>
          <w:rFonts w:cs="Arial"/>
          <w:szCs w:val="22"/>
        </w:rPr>
        <w:t xml:space="preserve">DES </w:t>
      </w:r>
      <w:r w:rsidR="005D4C66" w:rsidRPr="000F697B">
        <w:rPr>
          <w:rFonts w:cs="Arial"/>
          <w:szCs w:val="22"/>
        </w:rPr>
        <w:t>requ</w:t>
      </w:r>
      <w:r w:rsidR="005D4C66">
        <w:rPr>
          <w:rFonts w:cs="Arial"/>
          <w:szCs w:val="22"/>
        </w:rPr>
        <w:t>ired</w:t>
      </w:r>
      <w:r w:rsidR="005D4C66" w:rsidRPr="000F697B">
        <w:rPr>
          <w:rFonts w:cs="Arial"/>
          <w:szCs w:val="22"/>
        </w:rPr>
        <w:t xml:space="preserve"> </w:t>
      </w:r>
      <w:r w:rsidRPr="000F697B">
        <w:rPr>
          <w:rFonts w:cs="Arial"/>
          <w:szCs w:val="22"/>
        </w:rPr>
        <w:t xml:space="preserve">agencies submit their IT Contracts Reports by </w:t>
      </w:r>
      <w:r w:rsidR="005D4C66" w:rsidRPr="000F697B">
        <w:rPr>
          <w:rFonts w:cs="Arial"/>
          <w:szCs w:val="22"/>
        </w:rPr>
        <w:t>Sept</w:t>
      </w:r>
      <w:r w:rsidR="005D4C66">
        <w:rPr>
          <w:rFonts w:cs="Arial"/>
          <w:szCs w:val="22"/>
        </w:rPr>
        <w:t>.</w:t>
      </w:r>
      <w:r w:rsidRPr="000F697B">
        <w:rPr>
          <w:rFonts w:cs="Arial"/>
          <w:szCs w:val="22"/>
        </w:rPr>
        <w:t>1, 202</w:t>
      </w:r>
      <w:r w:rsidR="000067C8">
        <w:rPr>
          <w:rFonts w:cs="Arial"/>
          <w:szCs w:val="22"/>
        </w:rPr>
        <w:t>1</w:t>
      </w:r>
      <w:r w:rsidR="00CA10EA">
        <w:rPr>
          <w:rFonts w:cs="Arial"/>
          <w:szCs w:val="22"/>
        </w:rPr>
        <w:t>.</w:t>
      </w:r>
      <w:r w:rsidR="00825F06" w:rsidRPr="000F697B">
        <w:rPr>
          <w:rFonts w:cs="Arial"/>
          <w:szCs w:val="22"/>
        </w:rPr>
        <w:t xml:space="preserve"> </w:t>
      </w:r>
      <w:r w:rsidR="006F3329">
        <w:rPr>
          <w:rFonts w:cs="Arial"/>
          <w:szCs w:val="22"/>
        </w:rPr>
        <w:t xml:space="preserve">About </w:t>
      </w:r>
      <w:r w:rsidR="00B239BB">
        <w:rPr>
          <w:rFonts w:cs="Arial"/>
          <w:szCs w:val="22"/>
        </w:rPr>
        <w:t>8</w:t>
      </w:r>
      <w:r w:rsidR="00B239BB" w:rsidRPr="00B239BB">
        <w:rPr>
          <w:rFonts w:cs="Arial"/>
          <w:szCs w:val="22"/>
        </w:rPr>
        <w:t>1</w:t>
      </w:r>
      <w:r w:rsidR="006F3329" w:rsidRPr="00B239BB">
        <w:rPr>
          <w:rFonts w:cs="Arial"/>
          <w:szCs w:val="22"/>
        </w:rPr>
        <w:t>%</w:t>
      </w:r>
      <w:r w:rsidR="006F3329">
        <w:rPr>
          <w:rFonts w:cs="Arial"/>
          <w:szCs w:val="22"/>
        </w:rPr>
        <w:t xml:space="preserve"> </w:t>
      </w:r>
      <w:r w:rsidR="00B239BB">
        <w:rPr>
          <w:rFonts w:cs="Arial"/>
          <w:szCs w:val="22"/>
        </w:rPr>
        <w:t xml:space="preserve">of </w:t>
      </w:r>
      <w:r w:rsidR="006F3329">
        <w:rPr>
          <w:rFonts w:cs="Arial"/>
          <w:szCs w:val="22"/>
        </w:rPr>
        <w:t>agencies had submitted a report on or before the deadline</w:t>
      </w:r>
      <w:r w:rsidR="00061BF8">
        <w:rPr>
          <w:rFonts w:cs="Arial"/>
          <w:szCs w:val="22"/>
        </w:rPr>
        <w:t>. However</w:t>
      </w:r>
      <w:r w:rsidR="006F3329">
        <w:rPr>
          <w:rFonts w:cs="Arial"/>
          <w:szCs w:val="22"/>
        </w:rPr>
        <w:t>, only 60% of the agencies</w:t>
      </w:r>
      <w:r w:rsidR="00061BF8">
        <w:rPr>
          <w:rFonts w:cs="Arial"/>
          <w:szCs w:val="22"/>
        </w:rPr>
        <w:t>’</w:t>
      </w:r>
      <w:r w:rsidR="006F3329">
        <w:rPr>
          <w:rFonts w:cs="Arial"/>
          <w:szCs w:val="22"/>
        </w:rPr>
        <w:t xml:space="preserve"> </w:t>
      </w:r>
      <w:r w:rsidR="00061BF8">
        <w:rPr>
          <w:rFonts w:cs="Arial"/>
          <w:szCs w:val="22"/>
        </w:rPr>
        <w:t xml:space="preserve">reports met requirements and were </w:t>
      </w:r>
      <w:r w:rsidR="006F3329">
        <w:rPr>
          <w:rFonts w:cs="Arial"/>
          <w:szCs w:val="22"/>
        </w:rPr>
        <w:t xml:space="preserve">accepted. The remaining reports had been returned for corrections. </w:t>
      </w:r>
      <w:r w:rsidR="004E3966" w:rsidRPr="000F697B">
        <w:rPr>
          <w:rFonts w:cs="Arial"/>
          <w:szCs w:val="22"/>
        </w:rPr>
        <w:t xml:space="preserve">At the time of the initial submission of this report and analysis, </w:t>
      </w:r>
      <w:r w:rsidR="004E3966" w:rsidRPr="00A53E24">
        <w:rPr>
          <w:rFonts w:cs="Arial"/>
          <w:szCs w:val="22"/>
        </w:rPr>
        <w:t>8</w:t>
      </w:r>
      <w:r w:rsidR="00A53E24" w:rsidRPr="00A53E24">
        <w:rPr>
          <w:rFonts w:cs="Arial"/>
          <w:szCs w:val="22"/>
        </w:rPr>
        <w:t>5</w:t>
      </w:r>
      <w:r w:rsidR="006F3329">
        <w:rPr>
          <w:rFonts w:cs="Arial"/>
          <w:szCs w:val="22"/>
        </w:rPr>
        <w:t>%</w:t>
      </w:r>
      <w:r w:rsidR="004E3966" w:rsidRPr="000F697B">
        <w:rPr>
          <w:rFonts w:cs="Arial"/>
          <w:szCs w:val="22"/>
        </w:rPr>
        <w:t xml:space="preserve"> of agencies are included. </w:t>
      </w:r>
      <w:bookmarkStart w:id="0" w:name="_Hlk92285134"/>
      <w:r w:rsidR="00961A4F">
        <w:rPr>
          <w:rFonts w:cs="Arial"/>
          <w:szCs w:val="22"/>
        </w:rPr>
        <w:t>This final installment now contains 96% of agencies</w:t>
      </w:r>
      <w:bookmarkEnd w:id="0"/>
      <w:r w:rsidR="00961A4F">
        <w:rPr>
          <w:rFonts w:cs="Arial"/>
          <w:szCs w:val="22"/>
        </w:rPr>
        <w:t xml:space="preserve">. Agencies who did not submit a report or who did not report complete data are included in the updated list below.  </w:t>
      </w:r>
    </w:p>
    <w:p w14:paraId="5FDECF03" w14:textId="77777777" w:rsidR="00733D15" w:rsidRPr="000F697B" w:rsidRDefault="00733D15" w:rsidP="007953B3">
      <w:pPr>
        <w:pStyle w:val="BodyText"/>
        <w:rPr>
          <w:rFonts w:cs="Arial"/>
          <w:szCs w:val="22"/>
        </w:rPr>
      </w:pPr>
    </w:p>
    <w:p w14:paraId="01B89091" w14:textId="13CDEFDD" w:rsidR="00C93D91" w:rsidRPr="000F697B" w:rsidRDefault="00821A19" w:rsidP="007953B3">
      <w:pPr>
        <w:pStyle w:val="BodyText"/>
        <w:rPr>
          <w:rFonts w:cs="Arial"/>
          <w:szCs w:val="22"/>
        </w:rPr>
      </w:pPr>
      <w:r w:rsidRPr="000F697B">
        <w:rPr>
          <w:rFonts w:cs="Arial"/>
          <w:szCs w:val="22"/>
        </w:rPr>
        <w:t xml:space="preserve">Agencies </w:t>
      </w:r>
      <w:r w:rsidR="008D1A80" w:rsidRPr="000F697B">
        <w:rPr>
          <w:rFonts w:cs="Arial"/>
          <w:szCs w:val="22"/>
        </w:rPr>
        <w:t>not included in the report</w:t>
      </w:r>
      <w:r w:rsidR="00961A4F">
        <w:rPr>
          <w:rFonts w:cs="Arial"/>
          <w:szCs w:val="22"/>
        </w:rPr>
        <w:t xml:space="preserve"> (updated)</w:t>
      </w:r>
      <w:r w:rsidRPr="000F697B">
        <w:rPr>
          <w:rFonts w:cs="Arial"/>
          <w:szCs w:val="22"/>
        </w:rPr>
        <w:t>:</w:t>
      </w:r>
    </w:p>
    <w:p w14:paraId="208EC26D" w14:textId="77777777" w:rsidR="00F87E24" w:rsidRPr="000F697B" w:rsidRDefault="00F87E24" w:rsidP="007953B3">
      <w:pPr>
        <w:pStyle w:val="BodyText"/>
        <w:rPr>
          <w:rFonts w:cs="Arial"/>
          <w:szCs w:val="22"/>
        </w:rPr>
      </w:pPr>
    </w:p>
    <w:p w14:paraId="46CB0151" w14:textId="77777777" w:rsidR="00FD4CB1" w:rsidRPr="003E58F8" w:rsidRDefault="00FD4CB1" w:rsidP="00FD4CB1">
      <w:pPr>
        <w:pStyle w:val="BodyText"/>
        <w:rPr>
          <w:rFonts w:cs="Arial"/>
          <w:b/>
          <w:bCs/>
          <w:szCs w:val="22"/>
        </w:rPr>
      </w:pPr>
      <w:r w:rsidRPr="003E58F8">
        <w:rPr>
          <w:rFonts w:cs="Arial"/>
          <w:b/>
          <w:bCs/>
          <w:szCs w:val="22"/>
        </w:rPr>
        <w:t xml:space="preserve">Bates Technical College (BATES) </w:t>
      </w:r>
    </w:p>
    <w:p w14:paraId="33B8D538" w14:textId="3897ABE8" w:rsidR="00FD4CB1" w:rsidRPr="00FD4CB1" w:rsidRDefault="00FD4CB1" w:rsidP="00FD4CB1">
      <w:pPr>
        <w:pStyle w:val="BodyText"/>
        <w:rPr>
          <w:rFonts w:cs="Arial"/>
          <w:szCs w:val="22"/>
        </w:rPr>
      </w:pPr>
      <w:r w:rsidRPr="00FD4CB1">
        <w:rPr>
          <w:rFonts w:cs="Arial"/>
          <w:szCs w:val="22"/>
        </w:rPr>
        <w:t>Housing Finance Commission, Washington State (HFC)</w:t>
      </w:r>
      <w:r w:rsidR="00E61E70">
        <w:rPr>
          <w:rFonts w:cs="Arial"/>
          <w:szCs w:val="22"/>
        </w:rPr>
        <w:t>*</w:t>
      </w:r>
    </w:p>
    <w:p w14:paraId="2AB19111" w14:textId="2DAAA7EB" w:rsidR="00FD4CB1" w:rsidRPr="00FD4CB1" w:rsidRDefault="00FD4CB1" w:rsidP="00FD4CB1">
      <w:pPr>
        <w:pStyle w:val="BodyText"/>
        <w:rPr>
          <w:rFonts w:cs="Arial"/>
          <w:szCs w:val="22"/>
        </w:rPr>
      </w:pPr>
      <w:r w:rsidRPr="00FD4CB1">
        <w:rPr>
          <w:rFonts w:cs="Arial"/>
          <w:szCs w:val="22"/>
        </w:rPr>
        <w:t>Pierce College (PIE)</w:t>
      </w:r>
      <w:r w:rsidR="00E61E70">
        <w:rPr>
          <w:rFonts w:cs="Arial"/>
          <w:szCs w:val="22"/>
        </w:rPr>
        <w:t>*</w:t>
      </w:r>
    </w:p>
    <w:p w14:paraId="04B75856" w14:textId="77777777" w:rsidR="00FD4CB1" w:rsidRPr="003E58F8" w:rsidRDefault="00FD4CB1" w:rsidP="00FD4CB1">
      <w:pPr>
        <w:pStyle w:val="BodyText"/>
        <w:rPr>
          <w:rFonts w:cs="Arial"/>
          <w:b/>
          <w:bCs/>
          <w:szCs w:val="22"/>
        </w:rPr>
      </w:pPr>
      <w:r w:rsidRPr="003E58F8">
        <w:rPr>
          <w:rFonts w:cs="Arial"/>
          <w:b/>
          <w:bCs/>
          <w:szCs w:val="22"/>
        </w:rPr>
        <w:t>Renton Technical College (RTC)</w:t>
      </w:r>
    </w:p>
    <w:p w14:paraId="787E70AF" w14:textId="77777777" w:rsidR="00FD4CB1" w:rsidRPr="003E58F8" w:rsidRDefault="00FD4CB1" w:rsidP="00FD4CB1">
      <w:pPr>
        <w:pStyle w:val="BodyText"/>
        <w:rPr>
          <w:rFonts w:cs="Arial"/>
          <w:b/>
          <w:bCs/>
          <w:szCs w:val="22"/>
        </w:rPr>
      </w:pPr>
      <w:r w:rsidRPr="003E58F8">
        <w:rPr>
          <w:rFonts w:cs="Arial"/>
          <w:b/>
          <w:bCs/>
          <w:szCs w:val="22"/>
        </w:rPr>
        <w:t>Skagit Valley College (SVC)</w:t>
      </w:r>
    </w:p>
    <w:p w14:paraId="79D57C20" w14:textId="77777777" w:rsidR="00FD4CB1" w:rsidRPr="003E58F8" w:rsidRDefault="00FD4CB1">
      <w:pPr>
        <w:pStyle w:val="BodyText"/>
        <w:rPr>
          <w:rFonts w:cs="Arial"/>
          <w:b/>
          <w:bCs/>
          <w:szCs w:val="22"/>
        </w:rPr>
      </w:pPr>
      <w:r w:rsidRPr="003E58F8">
        <w:rPr>
          <w:rFonts w:cs="Arial"/>
          <w:b/>
          <w:bCs/>
          <w:szCs w:val="22"/>
        </w:rPr>
        <w:t>Washington Higher Education Facilities Authority (WHEFA)</w:t>
      </w:r>
    </w:p>
    <w:p w14:paraId="0AE01102" w14:textId="12429593" w:rsidR="006F3329" w:rsidRDefault="006F3329" w:rsidP="00FD4CB1">
      <w:pPr>
        <w:pStyle w:val="BodyText"/>
        <w:rPr>
          <w:rFonts w:cs="Arial"/>
          <w:szCs w:val="22"/>
        </w:rPr>
      </w:pPr>
    </w:p>
    <w:p w14:paraId="2598B937" w14:textId="77777777" w:rsidR="00961A4F" w:rsidRPr="007C5E80" w:rsidRDefault="00961A4F" w:rsidP="00961A4F">
      <w:pPr>
        <w:pStyle w:val="BodyText"/>
        <w:rPr>
          <w:rFonts w:cs="Arial"/>
          <w:i/>
          <w:szCs w:val="22"/>
        </w:rPr>
      </w:pPr>
      <w:r w:rsidRPr="007C5E80">
        <w:rPr>
          <w:rFonts w:cs="Arial"/>
          <w:i/>
          <w:szCs w:val="22"/>
        </w:rPr>
        <w:t>Key</w:t>
      </w:r>
    </w:p>
    <w:p w14:paraId="6F064938" w14:textId="77777777" w:rsidR="00961A4F" w:rsidRPr="007C5E80" w:rsidRDefault="00961A4F" w:rsidP="00961A4F">
      <w:pPr>
        <w:pStyle w:val="BodyText"/>
        <w:rPr>
          <w:rFonts w:cs="Arial"/>
          <w:i/>
          <w:szCs w:val="22"/>
        </w:rPr>
      </w:pPr>
      <w:r w:rsidRPr="007C5E80">
        <w:rPr>
          <w:rFonts w:cs="Arial"/>
          <w:i/>
          <w:szCs w:val="22"/>
        </w:rPr>
        <w:t xml:space="preserve">(*) = Agencies that submitted a report but were either missing information or were asked to </w:t>
      </w:r>
      <w:r>
        <w:rPr>
          <w:rFonts w:cs="Arial"/>
          <w:i/>
          <w:szCs w:val="22"/>
        </w:rPr>
        <w:t>clarify their information.</w:t>
      </w:r>
    </w:p>
    <w:p w14:paraId="5F33EC2B" w14:textId="04AB662A" w:rsidR="00961A4F" w:rsidRDefault="00961A4F" w:rsidP="00961A4F">
      <w:pPr>
        <w:pStyle w:val="BodyText"/>
        <w:rPr>
          <w:rFonts w:cs="Arial"/>
          <w:i/>
          <w:szCs w:val="22"/>
        </w:rPr>
      </w:pPr>
      <w:r w:rsidRPr="007C5E80">
        <w:rPr>
          <w:rFonts w:cs="Arial"/>
          <w:b/>
          <w:i/>
          <w:szCs w:val="22"/>
        </w:rPr>
        <w:t>Bold</w:t>
      </w:r>
      <w:r w:rsidRPr="007C5E80">
        <w:rPr>
          <w:rFonts w:cs="Arial"/>
          <w:i/>
          <w:szCs w:val="22"/>
        </w:rPr>
        <w:t xml:space="preserve"> </w:t>
      </w:r>
      <w:r w:rsidRPr="007C5E80">
        <w:rPr>
          <w:rFonts w:cs="Arial"/>
          <w:b/>
          <w:i/>
          <w:szCs w:val="22"/>
        </w:rPr>
        <w:t xml:space="preserve">Text </w:t>
      </w:r>
      <w:r w:rsidRPr="007C5E80">
        <w:rPr>
          <w:rFonts w:cs="Arial"/>
          <w:i/>
          <w:szCs w:val="22"/>
        </w:rPr>
        <w:t xml:space="preserve">= Agencies that did not submit </w:t>
      </w:r>
      <w:r>
        <w:rPr>
          <w:rFonts w:cs="Arial"/>
          <w:i/>
          <w:szCs w:val="22"/>
        </w:rPr>
        <w:t xml:space="preserve">a report. </w:t>
      </w:r>
    </w:p>
    <w:p w14:paraId="2C110FD2" w14:textId="77777777" w:rsidR="00961A4F" w:rsidRDefault="00961A4F" w:rsidP="00FD4CB1">
      <w:pPr>
        <w:pStyle w:val="BodyText"/>
        <w:rPr>
          <w:rFonts w:cs="Arial"/>
          <w:szCs w:val="22"/>
        </w:rPr>
      </w:pPr>
    </w:p>
    <w:p w14:paraId="192ACCCB" w14:textId="2F7BCE93" w:rsidR="00273948" w:rsidRPr="00733D15" w:rsidRDefault="00273948" w:rsidP="006F3329">
      <w:pPr>
        <w:pStyle w:val="Heading1"/>
        <w:rPr>
          <w:rFonts w:cs="Arial"/>
        </w:rPr>
      </w:pPr>
      <w:r w:rsidRPr="00733D15">
        <w:rPr>
          <w:rFonts w:cs="Arial"/>
        </w:rPr>
        <w:t>IT Contracts Portfolio Summary</w:t>
      </w:r>
    </w:p>
    <w:p w14:paraId="19FF4DCF" w14:textId="11E5F1A2" w:rsidR="00A712F8" w:rsidRPr="000F697B" w:rsidRDefault="00A712F8" w:rsidP="00A712F8">
      <w:pPr>
        <w:rPr>
          <w:rFonts w:eastAsia="Times New Roman" w:cs="Arial"/>
          <w:b/>
          <w:bCs/>
          <w:smallCaps/>
          <w:szCs w:val="28"/>
        </w:rPr>
      </w:pPr>
      <w:r w:rsidRPr="000F697B">
        <w:rPr>
          <w:rFonts w:eastAsia="Times New Roman" w:cs="Arial"/>
          <w:b/>
          <w:bCs/>
          <w:smallCaps/>
          <w:szCs w:val="28"/>
        </w:rPr>
        <w:t>Data from 202</w:t>
      </w:r>
      <w:r w:rsidR="006F3329">
        <w:rPr>
          <w:rFonts w:eastAsia="Times New Roman" w:cs="Arial"/>
          <w:b/>
          <w:bCs/>
          <w:smallCaps/>
          <w:szCs w:val="28"/>
        </w:rPr>
        <w:t>1</w:t>
      </w:r>
      <w:r w:rsidRPr="000F697B">
        <w:rPr>
          <w:rFonts w:eastAsia="Times New Roman" w:cs="Arial"/>
          <w:b/>
          <w:bCs/>
          <w:smallCaps/>
          <w:szCs w:val="28"/>
        </w:rPr>
        <w:t xml:space="preserve"> Agency IT Contracts Report</w:t>
      </w:r>
    </w:p>
    <w:p w14:paraId="7258AB4E" w14:textId="77777777" w:rsidR="00A712F8" w:rsidRPr="000F697B" w:rsidRDefault="00A712F8" w:rsidP="00A712F8">
      <w:pPr>
        <w:rPr>
          <w:rFonts w:cs="Arial"/>
          <w:sz w:val="20"/>
          <w:szCs w:val="20"/>
        </w:rPr>
      </w:pPr>
    </w:p>
    <w:p w14:paraId="6C569E12" w14:textId="1F70D0CA" w:rsidR="00A30923" w:rsidRDefault="009248C3" w:rsidP="00A712F8">
      <w:pPr>
        <w:rPr>
          <w:rFonts w:cs="Arial"/>
          <w:szCs w:val="22"/>
        </w:rPr>
      </w:pPr>
      <w:r w:rsidRPr="000F697B">
        <w:rPr>
          <w:rFonts w:cs="Arial"/>
          <w:szCs w:val="22"/>
        </w:rPr>
        <w:t>The Tota</w:t>
      </w:r>
      <w:r w:rsidR="008025B7" w:rsidRPr="000F697B">
        <w:rPr>
          <w:rFonts w:cs="Arial"/>
          <w:szCs w:val="22"/>
        </w:rPr>
        <w:t xml:space="preserve">l Contract Amounts </w:t>
      </w:r>
      <w:r w:rsidR="002B1933" w:rsidRPr="000F697B">
        <w:rPr>
          <w:rFonts w:cs="Arial"/>
          <w:szCs w:val="22"/>
        </w:rPr>
        <w:t>reported by</w:t>
      </w:r>
      <w:r w:rsidR="008025B7" w:rsidRPr="000F697B">
        <w:rPr>
          <w:rFonts w:cs="Arial"/>
          <w:szCs w:val="22"/>
        </w:rPr>
        <w:t xml:space="preserve"> agencies and institutions of</w:t>
      </w:r>
      <w:r w:rsidRPr="000F697B">
        <w:rPr>
          <w:rFonts w:cs="Arial"/>
          <w:szCs w:val="22"/>
        </w:rPr>
        <w:t xml:space="preserve"> higher education in the </w:t>
      </w:r>
      <w:r w:rsidR="008025B7" w:rsidRPr="000F697B">
        <w:rPr>
          <w:rFonts w:cs="Arial"/>
          <w:szCs w:val="22"/>
        </w:rPr>
        <w:t>202</w:t>
      </w:r>
      <w:r w:rsidR="00334A83">
        <w:rPr>
          <w:rFonts w:cs="Arial"/>
          <w:szCs w:val="22"/>
        </w:rPr>
        <w:t>1</w:t>
      </w:r>
      <w:r w:rsidR="008025B7" w:rsidRPr="000F697B">
        <w:rPr>
          <w:rFonts w:cs="Arial"/>
          <w:szCs w:val="22"/>
        </w:rPr>
        <w:t xml:space="preserve"> </w:t>
      </w:r>
      <w:r w:rsidRPr="000F697B">
        <w:rPr>
          <w:rFonts w:cs="Arial"/>
          <w:szCs w:val="22"/>
        </w:rPr>
        <w:t xml:space="preserve">IT Contracts Report </w:t>
      </w:r>
      <w:r w:rsidRPr="003E58F8">
        <w:rPr>
          <w:rFonts w:cs="Arial"/>
          <w:szCs w:val="22"/>
        </w:rPr>
        <w:t xml:space="preserve">is </w:t>
      </w:r>
      <w:r w:rsidR="008025B7" w:rsidRPr="003E58F8">
        <w:rPr>
          <w:rFonts w:cs="Arial"/>
          <w:szCs w:val="22"/>
        </w:rPr>
        <w:t>$</w:t>
      </w:r>
      <w:r w:rsidR="00ED5557" w:rsidRPr="003E58F8">
        <w:rPr>
          <w:rFonts w:cs="Arial"/>
          <w:szCs w:val="22"/>
        </w:rPr>
        <w:t>1.</w:t>
      </w:r>
      <w:r w:rsidR="00456784" w:rsidRPr="003E58F8">
        <w:rPr>
          <w:rFonts w:cs="Arial"/>
          <w:szCs w:val="22"/>
        </w:rPr>
        <w:t>025</w:t>
      </w:r>
      <w:r w:rsidRPr="003E58F8">
        <w:rPr>
          <w:rFonts w:cs="Arial"/>
          <w:szCs w:val="22"/>
        </w:rPr>
        <w:t xml:space="preserve"> billion.</w:t>
      </w:r>
      <w:r w:rsidRPr="000F697B">
        <w:rPr>
          <w:rFonts w:cs="Arial"/>
          <w:szCs w:val="22"/>
        </w:rPr>
        <w:t xml:space="preserve"> </w:t>
      </w:r>
      <w:r w:rsidR="002B1933" w:rsidRPr="000F697B">
        <w:rPr>
          <w:rFonts w:cs="Arial"/>
          <w:szCs w:val="22"/>
        </w:rPr>
        <w:t xml:space="preserve">This is over the life of each contract reported. Below </w:t>
      </w:r>
      <w:r w:rsidR="00F06DA3">
        <w:rPr>
          <w:rFonts w:cs="Arial"/>
          <w:szCs w:val="22"/>
        </w:rPr>
        <w:t>are a series of tables</w:t>
      </w:r>
      <w:r w:rsidR="002B1933" w:rsidRPr="000F697B">
        <w:rPr>
          <w:rFonts w:cs="Arial"/>
          <w:szCs w:val="22"/>
        </w:rPr>
        <w:t xml:space="preserve"> that display the </w:t>
      </w:r>
      <w:r w:rsidR="005E21DD">
        <w:rPr>
          <w:rFonts w:cs="Arial"/>
          <w:szCs w:val="22"/>
        </w:rPr>
        <w:t xml:space="preserve">top </w:t>
      </w:r>
      <w:r w:rsidR="002B1933" w:rsidRPr="000F697B">
        <w:rPr>
          <w:rFonts w:cs="Arial"/>
          <w:szCs w:val="22"/>
        </w:rPr>
        <w:t xml:space="preserve">10 vendors </w:t>
      </w:r>
      <w:r w:rsidR="00F06DA3">
        <w:rPr>
          <w:rFonts w:cs="Arial"/>
          <w:szCs w:val="22"/>
        </w:rPr>
        <w:t>when the data is sorted by key fields</w:t>
      </w:r>
      <w:r w:rsidR="002B1933" w:rsidRPr="000F697B">
        <w:rPr>
          <w:rFonts w:cs="Arial"/>
          <w:szCs w:val="22"/>
        </w:rPr>
        <w:t xml:space="preserve">. </w:t>
      </w:r>
      <w:r w:rsidR="004F194A" w:rsidRPr="000F697B">
        <w:rPr>
          <w:rFonts w:cs="Arial"/>
          <w:szCs w:val="22"/>
        </w:rPr>
        <w:t xml:space="preserve">The data included in the </w:t>
      </w:r>
      <w:r w:rsidR="00CE7DA1">
        <w:rPr>
          <w:rFonts w:cs="Arial"/>
          <w:szCs w:val="22"/>
        </w:rPr>
        <w:t xml:space="preserve">following </w:t>
      </w:r>
      <w:r w:rsidR="004F194A" w:rsidRPr="000F697B">
        <w:rPr>
          <w:rFonts w:cs="Arial"/>
          <w:szCs w:val="22"/>
        </w:rPr>
        <w:t xml:space="preserve">summary tables exclude the agencies listed above, which have not yet turned in completed reports. </w:t>
      </w:r>
    </w:p>
    <w:p w14:paraId="3090D80B" w14:textId="48789B71" w:rsidR="00467C3C" w:rsidRDefault="00467C3C" w:rsidP="00A712F8">
      <w:pPr>
        <w:rPr>
          <w:rFonts w:cs="Arial"/>
          <w:szCs w:val="22"/>
        </w:rPr>
      </w:pPr>
    </w:p>
    <w:tbl>
      <w:tblPr>
        <w:tblW w:w="0" w:type="auto"/>
        <w:tblLook w:val="04A0" w:firstRow="1" w:lastRow="0" w:firstColumn="1" w:lastColumn="0" w:noHBand="0" w:noVBand="1"/>
      </w:tblPr>
      <w:tblGrid>
        <w:gridCol w:w="2945"/>
        <w:gridCol w:w="2353"/>
        <w:gridCol w:w="2006"/>
        <w:gridCol w:w="1948"/>
      </w:tblGrid>
      <w:tr w:rsidR="00467C3C" w:rsidRPr="00467C3C" w14:paraId="2C0B4D6E" w14:textId="77777777" w:rsidTr="003E58F8">
        <w:trPr>
          <w:trHeight w:val="468"/>
        </w:trPr>
        <w:tc>
          <w:tcPr>
            <w:tcW w:w="0" w:type="auto"/>
            <w:gridSpan w:val="4"/>
            <w:tcBorders>
              <w:top w:val="nil"/>
              <w:left w:val="nil"/>
              <w:bottom w:val="nil"/>
              <w:right w:val="nil"/>
            </w:tcBorders>
            <w:shd w:val="clear" w:color="auto" w:fill="auto"/>
            <w:noWrap/>
            <w:hideMark/>
          </w:tcPr>
          <w:p w14:paraId="7A04FA82" w14:textId="77777777" w:rsidR="00467C3C" w:rsidRPr="00467C3C" w:rsidRDefault="00467C3C">
            <w:pPr>
              <w:widowControl/>
              <w:autoSpaceDE/>
              <w:autoSpaceDN/>
              <w:adjustRightInd/>
              <w:rPr>
                <w:rFonts w:eastAsia="Times New Roman" w:cs="Arial"/>
                <w:b/>
                <w:bCs/>
                <w:color w:val="000000"/>
                <w:szCs w:val="22"/>
              </w:rPr>
            </w:pPr>
            <w:r w:rsidRPr="00467C3C">
              <w:rPr>
                <w:rFonts w:eastAsia="Times New Roman" w:cs="Arial"/>
                <w:b/>
                <w:bCs/>
                <w:color w:val="000000"/>
                <w:szCs w:val="22"/>
              </w:rPr>
              <w:t>Top 10 Vendors with the Most Spend for All Fiscal Years and Number of Agency Users</w:t>
            </w:r>
          </w:p>
        </w:tc>
      </w:tr>
      <w:tr w:rsidR="00467C3C" w:rsidRPr="00467C3C" w14:paraId="06144337" w14:textId="77777777" w:rsidTr="003E58F8">
        <w:trPr>
          <w:trHeight w:val="285"/>
        </w:trPr>
        <w:tc>
          <w:tcPr>
            <w:tcW w:w="0" w:type="auto"/>
            <w:tcBorders>
              <w:top w:val="single" w:sz="4" w:space="0" w:color="95B3D7"/>
              <w:left w:val="single" w:sz="4" w:space="0" w:color="95B3D7"/>
              <w:bottom w:val="single" w:sz="4" w:space="0" w:color="95B3D7"/>
              <w:right w:val="nil"/>
            </w:tcBorders>
            <w:shd w:val="clear" w:color="4F81BD" w:fill="4F81BD"/>
            <w:noWrap/>
            <w:vAlign w:val="bottom"/>
            <w:hideMark/>
          </w:tcPr>
          <w:p w14:paraId="48A646B5" w14:textId="77777777" w:rsidR="00467C3C" w:rsidRPr="00467C3C" w:rsidRDefault="00467C3C" w:rsidP="00467C3C">
            <w:pPr>
              <w:widowControl/>
              <w:autoSpaceDE/>
              <w:autoSpaceDN/>
              <w:adjustRightInd/>
              <w:rPr>
                <w:rFonts w:eastAsia="Times New Roman" w:cs="Arial"/>
                <w:b/>
                <w:bCs/>
                <w:color w:val="FFFFFF"/>
                <w:szCs w:val="22"/>
              </w:rPr>
            </w:pPr>
            <w:r w:rsidRPr="00467C3C">
              <w:rPr>
                <w:rFonts w:eastAsia="Times New Roman" w:cs="Arial"/>
                <w:b/>
                <w:bCs/>
                <w:color w:val="FFFFFF"/>
                <w:szCs w:val="22"/>
              </w:rPr>
              <w:t>Vendor</w:t>
            </w:r>
          </w:p>
        </w:tc>
        <w:tc>
          <w:tcPr>
            <w:tcW w:w="0" w:type="auto"/>
            <w:tcBorders>
              <w:top w:val="single" w:sz="4" w:space="0" w:color="95B3D7"/>
              <w:left w:val="nil"/>
              <w:bottom w:val="single" w:sz="4" w:space="0" w:color="95B3D7"/>
              <w:right w:val="nil"/>
            </w:tcBorders>
            <w:shd w:val="clear" w:color="4F81BD" w:fill="4F81BD"/>
            <w:noWrap/>
            <w:vAlign w:val="bottom"/>
            <w:hideMark/>
          </w:tcPr>
          <w:p w14:paraId="2DF36E1D" w14:textId="77777777" w:rsidR="00467C3C" w:rsidRPr="00467C3C" w:rsidRDefault="00467C3C" w:rsidP="00467C3C">
            <w:pPr>
              <w:widowControl/>
              <w:autoSpaceDE/>
              <w:autoSpaceDN/>
              <w:adjustRightInd/>
              <w:jc w:val="center"/>
              <w:rPr>
                <w:rFonts w:eastAsia="Times New Roman" w:cs="Arial"/>
                <w:b/>
                <w:bCs/>
                <w:color w:val="FFFFFF"/>
                <w:szCs w:val="22"/>
              </w:rPr>
            </w:pPr>
            <w:r w:rsidRPr="00467C3C">
              <w:rPr>
                <w:rFonts w:eastAsia="Times New Roman" w:cs="Arial"/>
                <w:b/>
                <w:bCs/>
                <w:color w:val="FFFFFF"/>
                <w:szCs w:val="22"/>
              </w:rPr>
              <w:t>All FY Spend</w:t>
            </w:r>
          </w:p>
        </w:tc>
        <w:tc>
          <w:tcPr>
            <w:tcW w:w="0" w:type="auto"/>
            <w:tcBorders>
              <w:top w:val="single" w:sz="4" w:space="0" w:color="95B3D7"/>
              <w:left w:val="nil"/>
              <w:bottom w:val="single" w:sz="4" w:space="0" w:color="95B3D7"/>
              <w:right w:val="nil"/>
            </w:tcBorders>
            <w:shd w:val="clear" w:color="4F81BD" w:fill="4F81BD"/>
            <w:noWrap/>
            <w:vAlign w:val="bottom"/>
            <w:hideMark/>
          </w:tcPr>
          <w:p w14:paraId="6ED418A3" w14:textId="77777777" w:rsidR="00467C3C" w:rsidRPr="00467C3C" w:rsidRDefault="00467C3C" w:rsidP="00467C3C">
            <w:pPr>
              <w:widowControl/>
              <w:autoSpaceDE/>
              <w:autoSpaceDN/>
              <w:adjustRightInd/>
              <w:rPr>
                <w:rFonts w:eastAsia="Times New Roman" w:cs="Arial"/>
                <w:b/>
                <w:bCs/>
                <w:color w:val="FFFFFF"/>
                <w:szCs w:val="22"/>
              </w:rPr>
            </w:pPr>
            <w:r w:rsidRPr="00467C3C">
              <w:rPr>
                <w:rFonts w:eastAsia="Times New Roman" w:cs="Arial"/>
                <w:b/>
                <w:bCs/>
                <w:color w:val="FFFFFF"/>
                <w:szCs w:val="22"/>
              </w:rPr>
              <w:t xml:space="preserve"># </w:t>
            </w:r>
            <w:proofErr w:type="gramStart"/>
            <w:r w:rsidRPr="00467C3C">
              <w:rPr>
                <w:rFonts w:eastAsia="Times New Roman" w:cs="Arial"/>
                <w:b/>
                <w:bCs/>
                <w:color w:val="FFFFFF"/>
                <w:szCs w:val="22"/>
              </w:rPr>
              <w:t>of</w:t>
            </w:r>
            <w:proofErr w:type="gramEnd"/>
            <w:r w:rsidRPr="00467C3C">
              <w:rPr>
                <w:rFonts w:eastAsia="Times New Roman" w:cs="Arial"/>
                <w:b/>
                <w:bCs/>
                <w:color w:val="FFFFFF"/>
                <w:szCs w:val="22"/>
              </w:rPr>
              <w:t xml:space="preserve"> Contracts</w:t>
            </w:r>
          </w:p>
        </w:tc>
        <w:tc>
          <w:tcPr>
            <w:tcW w:w="0" w:type="auto"/>
            <w:tcBorders>
              <w:top w:val="single" w:sz="4" w:space="0" w:color="95B3D7"/>
              <w:left w:val="nil"/>
              <w:bottom w:val="single" w:sz="4" w:space="0" w:color="95B3D7"/>
              <w:right w:val="single" w:sz="4" w:space="0" w:color="95B3D7"/>
            </w:tcBorders>
            <w:shd w:val="clear" w:color="4F81BD" w:fill="4F81BD"/>
            <w:noWrap/>
            <w:vAlign w:val="bottom"/>
            <w:hideMark/>
          </w:tcPr>
          <w:p w14:paraId="59C217B4" w14:textId="77777777" w:rsidR="00467C3C" w:rsidRPr="00467C3C" w:rsidRDefault="00467C3C" w:rsidP="00467C3C">
            <w:pPr>
              <w:widowControl/>
              <w:autoSpaceDE/>
              <w:autoSpaceDN/>
              <w:adjustRightInd/>
              <w:jc w:val="center"/>
              <w:rPr>
                <w:rFonts w:eastAsia="Times New Roman" w:cs="Arial"/>
                <w:b/>
                <w:bCs/>
                <w:color w:val="FFFFFF"/>
                <w:szCs w:val="22"/>
              </w:rPr>
            </w:pPr>
            <w:r w:rsidRPr="00467C3C">
              <w:rPr>
                <w:rFonts w:eastAsia="Times New Roman" w:cs="Arial"/>
                <w:b/>
                <w:bCs/>
                <w:color w:val="FFFFFF"/>
                <w:szCs w:val="22"/>
              </w:rPr>
              <w:t xml:space="preserve"># </w:t>
            </w:r>
            <w:proofErr w:type="gramStart"/>
            <w:r w:rsidRPr="00467C3C">
              <w:rPr>
                <w:rFonts w:eastAsia="Times New Roman" w:cs="Arial"/>
                <w:b/>
                <w:bCs/>
                <w:color w:val="FFFFFF"/>
                <w:szCs w:val="22"/>
              </w:rPr>
              <w:t>of</w:t>
            </w:r>
            <w:proofErr w:type="gramEnd"/>
            <w:r w:rsidRPr="00467C3C">
              <w:rPr>
                <w:rFonts w:eastAsia="Times New Roman" w:cs="Arial"/>
                <w:b/>
                <w:bCs/>
                <w:color w:val="FFFFFF"/>
                <w:szCs w:val="22"/>
              </w:rPr>
              <w:t xml:space="preserve"> Agencies</w:t>
            </w:r>
          </w:p>
        </w:tc>
      </w:tr>
      <w:tr w:rsidR="006828C4" w:rsidRPr="00467C3C" w14:paraId="66F1436D" w14:textId="77777777" w:rsidTr="003E58F8">
        <w:trPr>
          <w:trHeight w:val="285"/>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52633AE5" w14:textId="40DFC9FC" w:rsidR="006828C4" w:rsidRPr="00467C3C" w:rsidRDefault="006828C4" w:rsidP="006828C4">
            <w:pPr>
              <w:widowControl/>
              <w:autoSpaceDE/>
              <w:autoSpaceDN/>
              <w:adjustRightInd/>
              <w:rPr>
                <w:rFonts w:eastAsia="Times New Roman" w:cs="Arial"/>
                <w:color w:val="000000"/>
                <w:szCs w:val="22"/>
              </w:rPr>
            </w:pPr>
            <w:r>
              <w:rPr>
                <w:rFonts w:cs="Arial"/>
                <w:color w:val="000000"/>
                <w:szCs w:val="22"/>
              </w:rPr>
              <w:t>CNSI</w:t>
            </w:r>
          </w:p>
        </w:tc>
        <w:tc>
          <w:tcPr>
            <w:tcW w:w="0" w:type="auto"/>
            <w:tcBorders>
              <w:top w:val="single" w:sz="4" w:space="0" w:color="95B3D7"/>
              <w:left w:val="nil"/>
              <w:bottom w:val="single" w:sz="4" w:space="0" w:color="95B3D7"/>
              <w:right w:val="nil"/>
            </w:tcBorders>
            <w:shd w:val="clear" w:color="DCE6F1" w:fill="DCE6F1"/>
            <w:noWrap/>
            <w:vAlign w:val="bottom"/>
            <w:hideMark/>
          </w:tcPr>
          <w:p w14:paraId="43D73995" w14:textId="1B70FDF6" w:rsidR="006828C4" w:rsidRPr="00467C3C" w:rsidRDefault="006828C4" w:rsidP="006828C4">
            <w:pPr>
              <w:widowControl/>
              <w:autoSpaceDE/>
              <w:autoSpaceDN/>
              <w:adjustRightInd/>
              <w:rPr>
                <w:rFonts w:eastAsia="Times New Roman" w:cs="Arial"/>
                <w:color w:val="000000"/>
                <w:szCs w:val="22"/>
              </w:rPr>
            </w:pPr>
            <w:r>
              <w:rPr>
                <w:rFonts w:cs="Arial"/>
                <w:color w:val="000000"/>
                <w:szCs w:val="22"/>
              </w:rPr>
              <w:t xml:space="preserve"> $      709,765,862 </w:t>
            </w:r>
          </w:p>
        </w:tc>
        <w:tc>
          <w:tcPr>
            <w:tcW w:w="0" w:type="auto"/>
            <w:tcBorders>
              <w:top w:val="single" w:sz="4" w:space="0" w:color="95B3D7"/>
              <w:left w:val="nil"/>
              <w:bottom w:val="single" w:sz="4" w:space="0" w:color="95B3D7"/>
              <w:right w:val="nil"/>
            </w:tcBorders>
            <w:shd w:val="clear" w:color="DCE6F1" w:fill="DCE6F1"/>
            <w:noWrap/>
            <w:vAlign w:val="bottom"/>
            <w:hideMark/>
          </w:tcPr>
          <w:p w14:paraId="32C8F387" w14:textId="14022322" w:rsidR="006828C4" w:rsidRPr="00467C3C" w:rsidRDefault="006828C4" w:rsidP="006828C4">
            <w:pPr>
              <w:widowControl/>
              <w:autoSpaceDE/>
              <w:autoSpaceDN/>
              <w:adjustRightInd/>
              <w:jc w:val="center"/>
              <w:rPr>
                <w:rFonts w:eastAsia="Times New Roman" w:cs="Arial"/>
                <w:color w:val="000000"/>
                <w:szCs w:val="22"/>
              </w:rPr>
            </w:pPr>
            <w:r>
              <w:rPr>
                <w:rFonts w:cs="Arial"/>
                <w:color w:val="000000"/>
                <w:szCs w:val="22"/>
              </w:rPr>
              <w:t>3</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6233592F" w14:textId="79C5C225" w:rsidR="006828C4" w:rsidRPr="00467C3C" w:rsidRDefault="006828C4" w:rsidP="006828C4">
            <w:pPr>
              <w:widowControl/>
              <w:autoSpaceDE/>
              <w:autoSpaceDN/>
              <w:adjustRightInd/>
              <w:jc w:val="center"/>
              <w:rPr>
                <w:rFonts w:eastAsia="Times New Roman" w:cs="Arial"/>
                <w:color w:val="000000"/>
                <w:szCs w:val="22"/>
              </w:rPr>
            </w:pPr>
            <w:r>
              <w:rPr>
                <w:rFonts w:cs="Arial"/>
                <w:color w:val="000000"/>
                <w:szCs w:val="22"/>
              </w:rPr>
              <w:t>1</w:t>
            </w:r>
          </w:p>
        </w:tc>
      </w:tr>
      <w:tr w:rsidR="006828C4" w:rsidRPr="00467C3C" w14:paraId="02FD9BC2" w14:textId="77777777" w:rsidTr="003E58F8">
        <w:trPr>
          <w:trHeight w:val="285"/>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50B4A741" w14:textId="09151E85" w:rsidR="006828C4" w:rsidRPr="00467C3C" w:rsidRDefault="006828C4" w:rsidP="006828C4">
            <w:pPr>
              <w:widowControl/>
              <w:autoSpaceDE/>
              <w:autoSpaceDN/>
              <w:adjustRightInd/>
              <w:rPr>
                <w:rFonts w:eastAsia="Times New Roman" w:cs="Arial"/>
                <w:color w:val="000000"/>
                <w:szCs w:val="22"/>
              </w:rPr>
            </w:pPr>
            <w:r>
              <w:rPr>
                <w:rFonts w:cs="Arial"/>
                <w:color w:val="000000"/>
                <w:szCs w:val="22"/>
              </w:rPr>
              <w:t>FYI Properties</w:t>
            </w:r>
          </w:p>
        </w:tc>
        <w:tc>
          <w:tcPr>
            <w:tcW w:w="0" w:type="auto"/>
            <w:tcBorders>
              <w:top w:val="single" w:sz="4" w:space="0" w:color="95B3D7"/>
              <w:left w:val="nil"/>
              <w:bottom w:val="single" w:sz="4" w:space="0" w:color="95B3D7"/>
              <w:right w:val="nil"/>
            </w:tcBorders>
            <w:shd w:val="clear" w:color="auto" w:fill="auto"/>
            <w:noWrap/>
            <w:vAlign w:val="bottom"/>
            <w:hideMark/>
          </w:tcPr>
          <w:p w14:paraId="3D814FB7" w14:textId="6AE24EAE" w:rsidR="006828C4" w:rsidRPr="00467C3C" w:rsidRDefault="006828C4" w:rsidP="006828C4">
            <w:pPr>
              <w:widowControl/>
              <w:autoSpaceDE/>
              <w:autoSpaceDN/>
              <w:adjustRightInd/>
              <w:rPr>
                <w:rFonts w:eastAsia="Times New Roman" w:cs="Arial"/>
                <w:color w:val="000000"/>
                <w:szCs w:val="22"/>
              </w:rPr>
            </w:pPr>
            <w:r>
              <w:rPr>
                <w:rFonts w:cs="Arial"/>
                <w:color w:val="000000"/>
                <w:szCs w:val="22"/>
              </w:rPr>
              <w:t xml:space="preserve"> $      531,727,229 </w:t>
            </w:r>
          </w:p>
        </w:tc>
        <w:tc>
          <w:tcPr>
            <w:tcW w:w="0" w:type="auto"/>
            <w:tcBorders>
              <w:top w:val="single" w:sz="4" w:space="0" w:color="95B3D7"/>
              <w:left w:val="nil"/>
              <w:bottom w:val="single" w:sz="4" w:space="0" w:color="95B3D7"/>
              <w:right w:val="nil"/>
            </w:tcBorders>
            <w:shd w:val="clear" w:color="auto" w:fill="auto"/>
            <w:noWrap/>
            <w:vAlign w:val="bottom"/>
            <w:hideMark/>
          </w:tcPr>
          <w:p w14:paraId="24DBF6EC" w14:textId="7429D2EA" w:rsidR="006828C4" w:rsidRPr="00467C3C" w:rsidRDefault="006828C4" w:rsidP="006828C4">
            <w:pPr>
              <w:widowControl/>
              <w:autoSpaceDE/>
              <w:autoSpaceDN/>
              <w:adjustRightInd/>
              <w:jc w:val="center"/>
              <w:rPr>
                <w:rFonts w:eastAsia="Times New Roman" w:cs="Arial"/>
                <w:color w:val="000000"/>
                <w:szCs w:val="22"/>
              </w:rPr>
            </w:pPr>
            <w:r>
              <w:rPr>
                <w:rFonts w:cs="Arial"/>
                <w:color w:val="000000"/>
                <w:szCs w:val="22"/>
              </w:rPr>
              <w:t>2</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259C949A" w14:textId="5D4AC278" w:rsidR="006828C4" w:rsidRPr="00467C3C" w:rsidRDefault="006828C4" w:rsidP="006828C4">
            <w:pPr>
              <w:widowControl/>
              <w:autoSpaceDE/>
              <w:autoSpaceDN/>
              <w:adjustRightInd/>
              <w:jc w:val="center"/>
              <w:rPr>
                <w:rFonts w:eastAsia="Times New Roman" w:cs="Arial"/>
                <w:color w:val="000000"/>
                <w:szCs w:val="22"/>
              </w:rPr>
            </w:pPr>
            <w:r>
              <w:rPr>
                <w:rFonts w:cs="Arial"/>
                <w:color w:val="000000"/>
                <w:szCs w:val="22"/>
              </w:rPr>
              <w:t>1</w:t>
            </w:r>
          </w:p>
        </w:tc>
      </w:tr>
      <w:tr w:rsidR="006828C4" w:rsidRPr="00467C3C" w14:paraId="69674E06" w14:textId="77777777" w:rsidTr="003E58F8">
        <w:trPr>
          <w:trHeight w:val="285"/>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564D23B6" w14:textId="395F358A" w:rsidR="006828C4" w:rsidRPr="00467C3C" w:rsidRDefault="006828C4" w:rsidP="006828C4">
            <w:pPr>
              <w:widowControl/>
              <w:autoSpaceDE/>
              <w:autoSpaceDN/>
              <w:adjustRightInd/>
              <w:rPr>
                <w:rFonts w:eastAsia="Times New Roman" w:cs="Arial"/>
                <w:color w:val="000000"/>
                <w:szCs w:val="22"/>
              </w:rPr>
            </w:pPr>
            <w:r>
              <w:rPr>
                <w:rFonts w:cs="Arial"/>
                <w:color w:val="000000"/>
                <w:szCs w:val="22"/>
              </w:rPr>
              <w:t>IBM</w:t>
            </w:r>
          </w:p>
        </w:tc>
        <w:tc>
          <w:tcPr>
            <w:tcW w:w="0" w:type="auto"/>
            <w:tcBorders>
              <w:top w:val="single" w:sz="4" w:space="0" w:color="95B3D7"/>
              <w:left w:val="nil"/>
              <w:bottom w:val="single" w:sz="4" w:space="0" w:color="95B3D7"/>
              <w:right w:val="nil"/>
            </w:tcBorders>
            <w:shd w:val="clear" w:color="DCE6F1" w:fill="DCE6F1"/>
            <w:noWrap/>
            <w:vAlign w:val="bottom"/>
            <w:hideMark/>
          </w:tcPr>
          <w:p w14:paraId="685FECD6" w14:textId="4E57CC24" w:rsidR="006828C4" w:rsidRPr="00467C3C" w:rsidRDefault="006828C4" w:rsidP="006828C4">
            <w:pPr>
              <w:widowControl/>
              <w:autoSpaceDE/>
              <w:autoSpaceDN/>
              <w:adjustRightInd/>
              <w:rPr>
                <w:rFonts w:eastAsia="Times New Roman" w:cs="Arial"/>
                <w:color w:val="000000"/>
                <w:szCs w:val="22"/>
              </w:rPr>
            </w:pPr>
            <w:r>
              <w:rPr>
                <w:rFonts w:cs="Arial"/>
                <w:color w:val="000000"/>
                <w:szCs w:val="22"/>
              </w:rPr>
              <w:t xml:space="preserve"> $      461,504,598 </w:t>
            </w:r>
          </w:p>
        </w:tc>
        <w:tc>
          <w:tcPr>
            <w:tcW w:w="0" w:type="auto"/>
            <w:tcBorders>
              <w:top w:val="single" w:sz="4" w:space="0" w:color="95B3D7"/>
              <w:left w:val="nil"/>
              <w:bottom w:val="single" w:sz="4" w:space="0" w:color="95B3D7"/>
              <w:right w:val="nil"/>
            </w:tcBorders>
            <w:shd w:val="clear" w:color="DCE6F1" w:fill="DCE6F1"/>
            <w:noWrap/>
            <w:vAlign w:val="bottom"/>
            <w:hideMark/>
          </w:tcPr>
          <w:p w14:paraId="430DB7EA" w14:textId="2FF14B23" w:rsidR="006828C4" w:rsidRPr="00467C3C" w:rsidRDefault="006828C4" w:rsidP="006828C4">
            <w:pPr>
              <w:widowControl/>
              <w:autoSpaceDE/>
              <w:autoSpaceDN/>
              <w:adjustRightInd/>
              <w:jc w:val="center"/>
              <w:rPr>
                <w:rFonts w:eastAsia="Times New Roman" w:cs="Arial"/>
                <w:color w:val="000000"/>
                <w:szCs w:val="22"/>
              </w:rPr>
            </w:pPr>
            <w:r>
              <w:rPr>
                <w:rFonts w:cs="Arial"/>
                <w:color w:val="000000"/>
                <w:szCs w:val="22"/>
              </w:rPr>
              <w:t>29</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0055749D" w14:textId="5CCD2321" w:rsidR="006828C4" w:rsidRPr="00467C3C" w:rsidRDefault="006828C4" w:rsidP="006828C4">
            <w:pPr>
              <w:widowControl/>
              <w:autoSpaceDE/>
              <w:autoSpaceDN/>
              <w:adjustRightInd/>
              <w:jc w:val="center"/>
              <w:rPr>
                <w:rFonts w:eastAsia="Times New Roman" w:cs="Arial"/>
                <w:color w:val="000000"/>
                <w:szCs w:val="22"/>
              </w:rPr>
            </w:pPr>
            <w:r>
              <w:rPr>
                <w:rFonts w:cs="Arial"/>
                <w:color w:val="000000"/>
                <w:szCs w:val="22"/>
              </w:rPr>
              <w:t>13</w:t>
            </w:r>
          </w:p>
        </w:tc>
      </w:tr>
      <w:tr w:rsidR="006828C4" w:rsidRPr="00467C3C" w14:paraId="1CDB4FCC" w14:textId="77777777" w:rsidTr="003E58F8">
        <w:trPr>
          <w:trHeight w:val="285"/>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3B2935B7" w14:textId="03A3DA0F" w:rsidR="006828C4" w:rsidRPr="00467C3C" w:rsidRDefault="006828C4" w:rsidP="006828C4">
            <w:pPr>
              <w:widowControl/>
              <w:autoSpaceDE/>
              <w:autoSpaceDN/>
              <w:adjustRightInd/>
              <w:rPr>
                <w:rFonts w:eastAsia="Times New Roman" w:cs="Arial"/>
                <w:color w:val="000000"/>
                <w:szCs w:val="22"/>
              </w:rPr>
            </w:pPr>
            <w:r>
              <w:rPr>
                <w:rFonts w:cs="Arial"/>
                <w:color w:val="000000"/>
                <w:szCs w:val="22"/>
              </w:rPr>
              <w:t>Microsoft</w:t>
            </w:r>
          </w:p>
        </w:tc>
        <w:tc>
          <w:tcPr>
            <w:tcW w:w="0" w:type="auto"/>
            <w:tcBorders>
              <w:top w:val="single" w:sz="4" w:space="0" w:color="95B3D7"/>
              <w:left w:val="nil"/>
              <w:bottom w:val="single" w:sz="4" w:space="0" w:color="95B3D7"/>
              <w:right w:val="nil"/>
            </w:tcBorders>
            <w:shd w:val="clear" w:color="auto" w:fill="auto"/>
            <w:noWrap/>
            <w:vAlign w:val="bottom"/>
            <w:hideMark/>
          </w:tcPr>
          <w:p w14:paraId="36FE872C" w14:textId="22393D3A" w:rsidR="006828C4" w:rsidRPr="00467C3C" w:rsidRDefault="006828C4" w:rsidP="006828C4">
            <w:pPr>
              <w:widowControl/>
              <w:autoSpaceDE/>
              <w:autoSpaceDN/>
              <w:adjustRightInd/>
              <w:rPr>
                <w:rFonts w:eastAsia="Times New Roman" w:cs="Arial"/>
                <w:color w:val="000000"/>
                <w:szCs w:val="22"/>
              </w:rPr>
            </w:pPr>
            <w:r>
              <w:rPr>
                <w:rFonts w:cs="Arial"/>
                <w:color w:val="000000"/>
                <w:szCs w:val="22"/>
              </w:rPr>
              <w:t xml:space="preserve"> $      401,064,549 </w:t>
            </w:r>
          </w:p>
        </w:tc>
        <w:tc>
          <w:tcPr>
            <w:tcW w:w="0" w:type="auto"/>
            <w:tcBorders>
              <w:top w:val="single" w:sz="4" w:space="0" w:color="95B3D7"/>
              <w:left w:val="nil"/>
              <w:bottom w:val="single" w:sz="4" w:space="0" w:color="95B3D7"/>
              <w:right w:val="nil"/>
            </w:tcBorders>
            <w:shd w:val="clear" w:color="auto" w:fill="auto"/>
            <w:noWrap/>
            <w:vAlign w:val="bottom"/>
            <w:hideMark/>
          </w:tcPr>
          <w:p w14:paraId="5D9466B8" w14:textId="45FD7FE6" w:rsidR="006828C4" w:rsidRPr="00467C3C" w:rsidRDefault="006828C4" w:rsidP="006828C4">
            <w:pPr>
              <w:widowControl/>
              <w:autoSpaceDE/>
              <w:autoSpaceDN/>
              <w:adjustRightInd/>
              <w:jc w:val="center"/>
              <w:rPr>
                <w:rFonts w:eastAsia="Times New Roman" w:cs="Arial"/>
                <w:color w:val="000000"/>
                <w:szCs w:val="22"/>
              </w:rPr>
            </w:pPr>
            <w:r>
              <w:rPr>
                <w:rFonts w:cs="Arial"/>
                <w:color w:val="000000"/>
                <w:szCs w:val="22"/>
              </w:rPr>
              <w:t>76</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2135827A" w14:textId="5B8E8A57" w:rsidR="006828C4" w:rsidRPr="00467C3C" w:rsidRDefault="006828C4" w:rsidP="006828C4">
            <w:pPr>
              <w:widowControl/>
              <w:autoSpaceDE/>
              <w:autoSpaceDN/>
              <w:adjustRightInd/>
              <w:jc w:val="center"/>
              <w:rPr>
                <w:rFonts w:eastAsia="Times New Roman" w:cs="Arial"/>
                <w:color w:val="000000"/>
                <w:szCs w:val="22"/>
              </w:rPr>
            </w:pPr>
            <w:r>
              <w:rPr>
                <w:rFonts w:cs="Arial"/>
                <w:color w:val="000000"/>
                <w:szCs w:val="22"/>
              </w:rPr>
              <w:t>42</w:t>
            </w:r>
          </w:p>
        </w:tc>
      </w:tr>
      <w:tr w:rsidR="006828C4" w:rsidRPr="00467C3C" w14:paraId="0F162346" w14:textId="77777777" w:rsidTr="003E58F8">
        <w:trPr>
          <w:trHeight w:val="285"/>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249117E8" w14:textId="5F8DDD63" w:rsidR="006828C4" w:rsidRPr="00467C3C" w:rsidRDefault="006828C4" w:rsidP="006828C4">
            <w:pPr>
              <w:widowControl/>
              <w:autoSpaceDE/>
              <w:autoSpaceDN/>
              <w:adjustRightInd/>
              <w:rPr>
                <w:rFonts w:eastAsia="Times New Roman" w:cs="Arial"/>
                <w:color w:val="000000"/>
                <w:szCs w:val="22"/>
              </w:rPr>
            </w:pPr>
            <w:r>
              <w:rPr>
                <w:rFonts w:cs="Arial"/>
                <w:color w:val="000000"/>
                <w:szCs w:val="22"/>
              </w:rPr>
              <w:t>Fast Enterprises LLC</w:t>
            </w:r>
          </w:p>
        </w:tc>
        <w:tc>
          <w:tcPr>
            <w:tcW w:w="0" w:type="auto"/>
            <w:tcBorders>
              <w:top w:val="single" w:sz="4" w:space="0" w:color="95B3D7"/>
              <w:left w:val="nil"/>
              <w:bottom w:val="single" w:sz="4" w:space="0" w:color="95B3D7"/>
              <w:right w:val="nil"/>
            </w:tcBorders>
            <w:shd w:val="clear" w:color="DCE6F1" w:fill="DCE6F1"/>
            <w:noWrap/>
            <w:vAlign w:val="bottom"/>
            <w:hideMark/>
          </w:tcPr>
          <w:p w14:paraId="6D4EEE1A" w14:textId="38018E84" w:rsidR="006828C4" w:rsidRPr="00467C3C" w:rsidRDefault="006828C4" w:rsidP="006828C4">
            <w:pPr>
              <w:widowControl/>
              <w:autoSpaceDE/>
              <w:autoSpaceDN/>
              <w:adjustRightInd/>
              <w:rPr>
                <w:rFonts w:eastAsia="Times New Roman" w:cs="Arial"/>
                <w:color w:val="000000"/>
                <w:szCs w:val="22"/>
              </w:rPr>
            </w:pPr>
            <w:r>
              <w:rPr>
                <w:rFonts w:cs="Arial"/>
                <w:color w:val="000000"/>
                <w:szCs w:val="22"/>
              </w:rPr>
              <w:t xml:space="preserve"> $      220,458,572 </w:t>
            </w:r>
          </w:p>
        </w:tc>
        <w:tc>
          <w:tcPr>
            <w:tcW w:w="0" w:type="auto"/>
            <w:tcBorders>
              <w:top w:val="single" w:sz="4" w:space="0" w:color="95B3D7"/>
              <w:left w:val="nil"/>
              <w:bottom w:val="single" w:sz="4" w:space="0" w:color="95B3D7"/>
              <w:right w:val="nil"/>
            </w:tcBorders>
            <w:shd w:val="clear" w:color="DCE6F1" w:fill="DCE6F1"/>
            <w:noWrap/>
            <w:vAlign w:val="bottom"/>
            <w:hideMark/>
          </w:tcPr>
          <w:p w14:paraId="08115EF3" w14:textId="5B820061" w:rsidR="006828C4" w:rsidRPr="00467C3C" w:rsidRDefault="006828C4" w:rsidP="006828C4">
            <w:pPr>
              <w:widowControl/>
              <w:autoSpaceDE/>
              <w:autoSpaceDN/>
              <w:adjustRightInd/>
              <w:jc w:val="center"/>
              <w:rPr>
                <w:rFonts w:eastAsia="Times New Roman" w:cs="Arial"/>
                <w:color w:val="000000"/>
                <w:szCs w:val="22"/>
              </w:rPr>
            </w:pPr>
            <w:r>
              <w:rPr>
                <w:rFonts w:cs="Arial"/>
                <w:color w:val="000000"/>
                <w:szCs w:val="22"/>
              </w:rPr>
              <w:t>6</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1D743B5D" w14:textId="58D21BE9" w:rsidR="006828C4" w:rsidRPr="00467C3C" w:rsidRDefault="006828C4" w:rsidP="006828C4">
            <w:pPr>
              <w:widowControl/>
              <w:autoSpaceDE/>
              <w:autoSpaceDN/>
              <w:adjustRightInd/>
              <w:jc w:val="center"/>
              <w:rPr>
                <w:rFonts w:eastAsia="Times New Roman" w:cs="Arial"/>
                <w:color w:val="000000"/>
                <w:szCs w:val="22"/>
              </w:rPr>
            </w:pPr>
            <w:r>
              <w:rPr>
                <w:rFonts w:cs="Arial"/>
                <w:color w:val="000000"/>
                <w:szCs w:val="22"/>
              </w:rPr>
              <w:t>4</w:t>
            </w:r>
          </w:p>
        </w:tc>
      </w:tr>
      <w:tr w:rsidR="006828C4" w:rsidRPr="00467C3C" w14:paraId="296B64F2" w14:textId="77777777" w:rsidTr="003E58F8">
        <w:trPr>
          <w:trHeight w:val="285"/>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5F53E8A7" w14:textId="1274EDDA" w:rsidR="006828C4" w:rsidRPr="00467C3C" w:rsidRDefault="006828C4" w:rsidP="006828C4">
            <w:pPr>
              <w:widowControl/>
              <w:autoSpaceDE/>
              <w:autoSpaceDN/>
              <w:adjustRightInd/>
              <w:rPr>
                <w:rFonts w:eastAsia="Times New Roman" w:cs="Arial"/>
                <w:color w:val="000000"/>
                <w:szCs w:val="22"/>
              </w:rPr>
            </w:pPr>
            <w:r>
              <w:rPr>
                <w:rFonts w:cs="Arial"/>
                <w:color w:val="000000"/>
                <w:szCs w:val="22"/>
              </w:rPr>
              <w:t>SHI</w:t>
            </w:r>
          </w:p>
        </w:tc>
        <w:tc>
          <w:tcPr>
            <w:tcW w:w="0" w:type="auto"/>
            <w:tcBorders>
              <w:top w:val="single" w:sz="4" w:space="0" w:color="95B3D7"/>
              <w:left w:val="nil"/>
              <w:bottom w:val="single" w:sz="4" w:space="0" w:color="95B3D7"/>
              <w:right w:val="nil"/>
            </w:tcBorders>
            <w:shd w:val="clear" w:color="auto" w:fill="auto"/>
            <w:noWrap/>
            <w:vAlign w:val="bottom"/>
            <w:hideMark/>
          </w:tcPr>
          <w:p w14:paraId="31113FA9" w14:textId="5AE9ACD1" w:rsidR="006828C4" w:rsidRPr="00467C3C" w:rsidRDefault="006828C4" w:rsidP="006828C4">
            <w:pPr>
              <w:widowControl/>
              <w:autoSpaceDE/>
              <w:autoSpaceDN/>
              <w:adjustRightInd/>
              <w:rPr>
                <w:rFonts w:eastAsia="Times New Roman" w:cs="Arial"/>
                <w:color w:val="000000"/>
                <w:szCs w:val="22"/>
              </w:rPr>
            </w:pPr>
            <w:r>
              <w:rPr>
                <w:rFonts w:cs="Arial"/>
                <w:color w:val="000000"/>
                <w:szCs w:val="22"/>
              </w:rPr>
              <w:t xml:space="preserve"> $      185,122,124 </w:t>
            </w:r>
          </w:p>
        </w:tc>
        <w:tc>
          <w:tcPr>
            <w:tcW w:w="0" w:type="auto"/>
            <w:tcBorders>
              <w:top w:val="single" w:sz="4" w:space="0" w:color="95B3D7"/>
              <w:left w:val="nil"/>
              <w:bottom w:val="single" w:sz="4" w:space="0" w:color="95B3D7"/>
              <w:right w:val="nil"/>
            </w:tcBorders>
            <w:shd w:val="clear" w:color="auto" w:fill="auto"/>
            <w:noWrap/>
            <w:vAlign w:val="bottom"/>
            <w:hideMark/>
          </w:tcPr>
          <w:p w14:paraId="7DC40CEF" w14:textId="46364BE5" w:rsidR="006828C4" w:rsidRPr="00467C3C" w:rsidRDefault="006828C4" w:rsidP="006828C4">
            <w:pPr>
              <w:widowControl/>
              <w:autoSpaceDE/>
              <w:autoSpaceDN/>
              <w:adjustRightInd/>
              <w:jc w:val="center"/>
              <w:rPr>
                <w:rFonts w:eastAsia="Times New Roman" w:cs="Arial"/>
                <w:color w:val="000000"/>
                <w:szCs w:val="22"/>
              </w:rPr>
            </w:pPr>
            <w:r>
              <w:rPr>
                <w:rFonts w:cs="Arial"/>
                <w:color w:val="000000"/>
                <w:szCs w:val="22"/>
              </w:rPr>
              <w:t>380</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65312528" w14:textId="2758DDA8" w:rsidR="006828C4" w:rsidRPr="00467C3C" w:rsidRDefault="006828C4" w:rsidP="006828C4">
            <w:pPr>
              <w:widowControl/>
              <w:autoSpaceDE/>
              <w:autoSpaceDN/>
              <w:adjustRightInd/>
              <w:jc w:val="center"/>
              <w:rPr>
                <w:rFonts w:eastAsia="Times New Roman" w:cs="Arial"/>
                <w:color w:val="000000"/>
                <w:szCs w:val="22"/>
              </w:rPr>
            </w:pPr>
            <w:r>
              <w:rPr>
                <w:rFonts w:cs="Arial"/>
                <w:color w:val="000000"/>
                <w:szCs w:val="22"/>
              </w:rPr>
              <w:t>72</w:t>
            </w:r>
          </w:p>
        </w:tc>
      </w:tr>
      <w:tr w:rsidR="006828C4" w:rsidRPr="00467C3C" w14:paraId="1022D387" w14:textId="77777777" w:rsidTr="003E58F8">
        <w:trPr>
          <w:trHeight w:val="285"/>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180C6398" w14:textId="7D612BBE" w:rsidR="006828C4" w:rsidRPr="00467C3C" w:rsidRDefault="006828C4" w:rsidP="006828C4">
            <w:pPr>
              <w:widowControl/>
              <w:autoSpaceDE/>
              <w:autoSpaceDN/>
              <w:adjustRightInd/>
              <w:rPr>
                <w:rFonts w:eastAsia="Times New Roman" w:cs="Arial"/>
                <w:color w:val="000000"/>
                <w:szCs w:val="22"/>
              </w:rPr>
            </w:pPr>
            <w:r>
              <w:rPr>
                <w:rFonts w:cs="Arial"/>
                <w:color w:val="000000"/>
                <w:szCs w:val="22"/>
              </w:rPr>
              <w:t>Workday Inc</w:t>
            </w:r>
          </w:p>
        </w:tc>
        <w:tc>
          <w:tcPr>
            <w:tcW w:w="0" w:type="auto"/>
            <w:tcBorders>
              <w:top w:val="single" w:sz="4" w:space="0" w:color="95B3D7"/>
              <w:left w:val="nil"/>
              <w:bottom w:val="single" w:sz="4" w:space="0" w:color="95B3D7"/>
              <w:right w:val="nil"/>
            </w:tcBorders>
            <w:shd w:val="clear" w:color="DCE6F1" w:fill="DCE6F1"/>
            <w:noWrap/>
            <w:vAlign w:val="bottom"/>
            <w:hideMark/>
          </w:tcPr>
          <w:p w14:paraId="2E55833B" w14:textId="65DE06F4" w:rsidR="006828C4" w:rsidRPr="00467C3C" w:rsidRDefault="006828C4" w:rsidP="006828C4">
            <w:pPr>
              <w:widowControl/>
              <w:autoSpaceDE/>
              <w:autoSpaceDN/>
              <w:adjustRightInd/>
              <w:rPr>
                <w:rFonts w:eastAsia="Times New Roman" w:cs="Arial"/>
                <w:color w:val="000000"/>
                <w:szCs w:val="22"/>
              </w:rPr>
            </w:pPr>
            <w:r>
              <w:rPr>
                <w:rFonts w:cs="Arial"/>
                <w:color w:val="000000"/>
                <w:szCs w:val="22"/>
              </w:rPr>
              <w:t xml:space="preserve"> $      175,933,626 </w:t>
            </w:r>
          </w:p>
        </w:tc>
        <w:tc>
          <w:tcPr>
            <w:tcW w:w="0" w:type="auto"/>
            <w:tcBorders>
              <w:top w:val="single" w:sz="4" w:space="0" w:color="95B3D7"/>
              <w:left w:val="nil"/>
              <w:bottom w:val="single" w:sz="4" w:space="0" w:color="95B3D7"/>
              <w:right w:val="nil"/>
            </w:tcBorders>
            <w:shd w:val="clear" w:color="DCE6F1" w:fill="DCE6F1"/>
            <w:noWrap/>
            <w:vAlign w:val="bottom"/>
            <w:hideMark/>
          </w:tcPr>
          <w:p w14:paraId="21982D13" w14:textId="34BCF3C2" w:rsidR="006828C4" w:rsidRPr="00467C3C" w:rsidRDefault="006828C4" w:rsidP="006828C4">
            <w:pPr>
              <w:widowControl/>
              <w:autoSpaceDE/>
              <w:autoSpaceDN/>
              <w:adjustRightInd/>
              <w:jc w:val="center"/>
              <w:rPr>
                <w:rFonts w:eastAsia="Times New Roman" w:cs="Arial"/>
                <w:color w:val="000000"/>
                <w:szCs w:val="22"/>
              </w:rPr>
            </w:pPr>
            <w:r>
              <w:rPr>
                <w:rFonts w:cs="Arial"/>
                <w:color w:val="000000"/>
                <w:szCs w:val="22"/>
              </w:rPr>
              <w:t>2</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6606060B" w14:textId="64BEF762" w:rsidR="006828C4" w:rsidRPr="00467C3C" w:rsidRDefault="006828C4" w:rsidP="006828C4">
            <w:pPr>
              <w:widowControl/>
              <w:autoSpaceDE/>
              <w:autoSpaceDN/>
              <w:adjustRightInd/>
              <w:jc w:val="center"/>
              <w:rPr>
                <w:rFonts w:eastAsia="Times New Roman" w:cs="Arial"/>
                <w:color w:val="000000"/>
                <w:szCs w:val="22"/>
              </w:rPr>
            </w:pPr>
            <w:r>
              <w:rPr>
                <w:rFonts w:cs="Arial"/>
                <w:color w:val="000000"/>
                <w:szCs w:val="22"/>
              </w:rPr>
              <w:t>2</w:t>
            </w:r>
          </w:p>
        </w:tc>
      </w:tr>
      <w:tr w:rsidR="006828C4" w:rsidRPr="00467C3C" w14:paraId="03818211" w14:textId="77777777" w:rsidTr="003E58F8">
        <w:trPr>
          <w:trHeight w:val="285"/>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23199B5D" w14:textId="6D826965" w:rsidR="006828C4" w:rsidRPr="00467C3C" w:rsidRDefault="006828C4" w:rsidP="006828C4">
            <w:pPr>
              <w:widowControl/>
              <w:autoSpaceDE/>
              <w:autoSpaceDN/>
              <w:adjustRightInd/>
              <w:rPr>
                <w:rFonts w:eastAsia="Times New Roman" w:cs="Arial"/>
                <w:color w:val="000000"/>
                <w:szCs w:val="22"/>
              </w:rPr>
            </w:pPr>
            <w:r>
              <w:rPr>
                <w:rFonts w:cs="Arial"/>
                <w:color w:val="000000"/>
                <w:szCs w:val="22"/>
              </w:rPr>
              <w:t>Dell</w:t>
            </w:r>
          </w:p>
        </w:tc>
        <w:tc>
          <w:tcPr>
            <w:tcW w:w="0" w:type="auto"/>
            <w:tcBorders>
              <w:top w:val="single" w:sz="4" w:space="0" w:color="95B3D7"/>
              <w:left w:val="nil"/>
              <w:bottom w:val="single" w:sz="4" w:space="0" w:color="95B3D7"/>
              <w:right w:val="nil"/>
            </w:tcBorders>
            <w:shd w:val="clear" w:color="auto" w:fill="auto"/>
            <w:noWrap/>
            <w:vAlign w:val="bottom"/>
            <w:hideMark/>
          </w:tcPr>
          <w:p w14:paraId="286A16E7" w14:textId="3B5FCDBC" w:rsidR="006828C4" w:rsidRPr="00467C3C" w:rsidRDefault="006828C4" w:rsidP="006828C4">
            <w:pPr>
              <w:widowControl/>
              <w:autoSpaceDE/>
              <w:autoSpaceDN/>
              <w:adjustRightInd/>
              <w:rPr>
                <w:rFonts w:eastAsia="Times New Roman" w:cs="Arial"/>
                <w:color w:val="000000"/>
                <w:szCs w:val="22"/>
              </w:rPr>
            </w:pPr>
            <w:r>
              <w:rPr>
                <w:rFonts w:cs="Arial"/>
                <w:color w:val="000000"/>
                <w:szCs w:val="22"/>
              </w:rPr>
              <w:t xml:space="preserve"> $      172,139,316 </w:t>
            </w:r>
          </w:p>
        </w:tc>
        <w:tc>
          <w:tcPr>
            <w:tcW w:w="0" w:type="auto"/>
            <w:tcBorders>
              <w:top w:val="single" w:sz="4" w:space="0" w:color="95B3D7"/>
              <w:left w:val="nil"/>
              <w:bottom w:val="single" w:sz="4" w:space="0" w:color="95B3D7"/>
              <w:right w:val="nil"/>
            </w:tcBorders>
            <w:shd w:val="clear" w:color="auto" w:fill="auto"/>
            <w:noWrap/>
            <w:vAlign w:val="bottom"/>
            <w:hideMark/>
          </w:tcPr>
          <w:p w14:paraId="08FD66C6" w14:textId="5ABEDB46" w:rsidR="006828C4" w:rsidRPr="00467C3C" w:rsidRDefault="006828C4" w:rsidP="006828C4">
            <w:pPr>
              <w:widowControl/>
              <w:autoSpaceDE/>
              <w:autoSpaceDN/>
              <w:adjustRightInd/>
              <w:jc w:val="center"/>
              <w:rPr>
                <w:rFonts w:eastAsia="Times New Roman" w:cs="Arial"/>
                <w:color w:val="000000"/>
                <w:szCs w:val="22"/>
              </w:rPr>
            </w:pPr>
            <w:r>
              <w:rPr>
                <w:rFonts w:cs="Arial"/>
                <w:color w:val="000000"/>
                <w:szCs w:val="22"/>
              </w:rPr>
              <w:t>91</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7C5C7F03" w14:textId="7920F2E9" w:rsidR="006828C4" w:rsidRPr="00467C3C" w:rsidRDefault="006828C4" w:rsidP="006828C4">
            <w:pPr>
              <w:widowControl/>
              <w:autoSpaceDE/>
              <w:autoSpaceDN/>
              <w:adjustRightInd/>
              <w:jc w:val="center"/>
              <w:rPr>
                <w:rFonts w:eastAsia="Times New Roman" w:cs="Arial"/>
                <w:color w:val="000000"/>
                <w:szCs w:val="22"/>
              </w:rPr>
            </w:pPr>
            <w:r>
              <w:rPr>
                <w:rFonts w:cs="Arial"/>
                <w:color w:val="000000"/>
                <w:szCs w:val="22"/>
              </w:rPr>
              <w:t>58</w:t>
            </w:r>
          </w:p>
        </w:tc>
      </w:tr>
      <w:tr w:rsidR="006828C4" w:rsidRPr="00467C3C" w14:paraId="23737338" w14:textId="77777777" w:rsidTr="003E58F8">
        <w:trPr>
          <w:trHeight w:val="285"/>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1A676FEA" w14:textId="152F6B44" w:rsidR="006828C4" w:rsidRPr="00467C3C" w:rsidRDefault="006828C4" w:rsidP="006828C4">
            <w:pPr>
              <w:widowControl/>
              <w:autoSpaceDE/>
              <w:autoSpaceDN/>
              <w:adjustRightInd/>
              <w:rPr>
                <w:rFonts w:eastAsia="Times New Roman" w:cs="Arial"/>
                <w:color w:val="000000"/>
                <w:szCs w:val="22"/>
              </w:rPr>
            </w:pPr>
            <w:r>
              <w:rPr>
                <w:rFonts w:cs="Arial"/>
                <w:color w:val="000000"/>
                <w:szCs w:val="22"/>
              </w:rPr>
              <w:t>CDW Government, Inc.</w:t>
            </w:r>
          </w:p>
        </w:tc>
        <w:tc>
          <w:tcPr>
            <w:tcW w:w="0" w:type="auto"/>
            <w:tcBorders>
              <w:top w:val="single" w:sz="4" w:space="0" w:color="95B3D7"/>
              <w:left w:val="nil"/>
              <w:bottom w:val="single" w:sz="4" w:space="0" w:color="95B3D7"/>
              <w:right w:val="nil"/>
            </w:tcBorders>
            <w:shd w:val="clear" w:color="DCE6F1" w:fill="DCE6F1"/>
            <w:noWrap/>
            <w:vAlign w:val="bottom"/>
            <w:hideMark/>
          </w:tcPr>
          <w:p w14:paraId="0D3D1E28" w14:textId="54BB1567" w:rsidR="006828C4" w:rsidRPr="00467C3C" w:rsidRDefault="006828C4" w:rsidP="006828C4">
            <w:pPr>
              <w:widowControl/>
              <w:autoSpaceDE/>
              <w:autoSpaceDN/>
              <w:adjustRightInd/>
              <w:rPr>
                <w:rFonts w:eastAsia="Times New Roman" w:cs="Arial"/>
                <w:color w:val="000000"/>
                <w:szCs w:val="22"/>
              </w:rPr>
            </w:pPr>
            <w:r>
              <w:rPr>
                <w:rFonts w:cs="Arial"/>
                <w:color w:val="000000"/>
                <w:szCs w:val="22"/>
              </w:rPr>
              <w:t xml:space="preserve"> $      151,439,988 </w:t>
            </w:r>
          </w:p>
        </w:tc>
        <w:tc>
          <w:tcPr>
            <w:tcW w:w="0" w:type="auto"/>
            <w:tcBorders>
              <w:top w:val="single" w:sz="4" w:space="0" w:color="95B3D7"/>
              <w:left w:val="nil"/>
              <w:bottom w:val="single" w:sz="4" w:space="0" w:color="95B3D7"/>
              <w:right w:val="nil"/>
            </w:tcBorders>
            <w:shd w:val="clear" w:color="DCE6F1" w:fill="DCE6F1"/>
            <w:noWrap/>
            <w:vAlign w:val="bottom"/>
            <w:hideMark/>
          </w:tcPr>
          <w:p w14:paraId="7CBA9635" w14:textId="7AF0511B" w:rsidR="006828C4" w:rsidRPr="00467C3C" w:rsidRDefault="006828C4" w:rsidP="006828C4">
            <w:pPr>
              <w:widowControl/>
              <w:autoSpaceDE/>
              <w:autoSpaceDN/>
              <w:adjustRightInd/>
              <w:jc w:val="center"/>
              <w:rPr>
                <w:rFonts w:eastAsia="Times New Roman" w:cs="Arial"/>
                <w:color w:val="000000"/>
                <w:szCs w:val="22"/>
              </w:rPr>
            </w:pPr>
            <w:r>
              <w:rPr>
                <w:rFonts w:cs="Arial"/>
                <w:color w:val="000000"/>
                <w:szCs w:val="22"/>
              </w:rPr>
              <w:t>109</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1D215981" w14:textId="5960BB63" w:rsidR="006828C4" w:rsidRPr="00467C3C" w:rsidRDefault="006828C4" w:rsidP="006828C4">
            <w:pPr>
              <w:widowControl/>
              <w:autoSpaceDE/>
              <w:autoSpaceDN/>
              <w:adjustRightInd/>
              <w:jc w:val="center"/>
              <w:rPr>
                <w:rFonts w:eastAsia="Times New Roman" w:cs="Arial"/>
                <w:color w:val="000000"/>
                <w:szCs w:val="22"/>
              </w:rPr>
            </w:pPr>
            <w:r>
              <w:rPr>
                <w:rFonts w:cs="Arial"/>
                <w:color w:val="000000"/>
                <w:szCs w:val="22"/>
              </w:rPr>
              <w:t>51</w:t>
            </w:r>
          </w:p>
        </w:tc>
      </w:tr>
      <w:tr w:rsidR="006828C4" w:rsidRPr="00467C3C" w14:paraId="047B934F" w14:textId="77777777" w:rsidTr="003E58F8">
        <w:trPr>
          <w:trHeight w:val="285"/>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1F17FE84" w14:textId="2EDC77FD" w:rsidR="006828C4" w:rsidRPr="00467C3C" w:rsidRDefault="006828C4" w:rsidP="006828C4">
            <w:pPr>
              <w:widowControl/>
              <w:autoSpaceDE/>
              <w:autoSpaceDN/>
              <w:adjustRightInd/>
              <w:rPr>
                <w:rFonts w:eastAsia="Times New Roman" w:cs="Arial"/>
                <w:color w:val="000000"/>
                <w:szCs w:val="22"/>
              </w:rPr>
            </w:pPr>
            <w:r>
              <w:rPr>
                <w:rFonts w:cs="Arial"/>
                <w:color w:val="000000"/>
                <w:szCs w:val="22"/>
              </w:rPr>
              <w:t>Insight Public Sector</w:t>
            </w:r>
          </w:p>
        </w:tc>
        <w:tc>
          <w:tcPr>
            <w:tcW w:w="0" w:type="auto"/>
            <w:tcBorders>
              <w:top w:val="single" w:sz="4" w:space="0" w:color="95B3D7"/>
              <w:left w:val="nil"/>
              <w:bottom w:val="single" w:sz="4" w:space="0" w:color="95B3D7"/>
              <w:right w:val="nil"/>
            </w:tcBorders>
            <w:shd w:val="clear" w:color="auto" w:fill="auto"/>
            <w:noWrap/>
            <w:vAlign w:val="bottom"/>
            <w:hideMark/>
          </w:tcPr>
          <w:p w14:paraId="768BD941" w14:textId="5B6FF537" w:rsidR="006828C4" w:rsidRPr="00467C3C" w:rsidRDefault="006828C4" w:rsidP="006828C4">
            <w:pPr>
              <w:widowControl/>
              <w:autoSpaceDE/>
              <w:autoSpaceDN/>
              <w:adjustRightInd/>
              <w:rPr>
                <w:rFonts w:eastAsia="Times New Roman" w:cs="Arial"/>
                <w:color w:val="000000"/>
                <w:szCs w:val="22"/>
              </w:rPr>
            </w:pPr>
            <w:r>
              <w:rPr>
                <w:rFonts w:cs="Arial"/>
                <w:color w:val="000000"/>
                <w:szCs w:val="22"/>
              </w:rPr>
              <w:t xml:space="preserve"> $      149,130,479 </w:t>
            </w:r>
          </w:p>
        </w:tc>
        <w:tc>
          <w:tcPr>
            <w:tcW w:w="0" w:type="auto"/>
            <w:tcBorders>
              <w:top w:val="single" w:sz="4" w:space="0" w:color="95B3D7"/>
              <w:left w:val="nil"/>
              <w:bottom w:val="single" w:sz="4" w:space="0" w:color="95B3D7"/>
              <w:right w:val="nil"/>
            </w:tcBorders>
            <w:shd w:val="clear" w:color="auto" w:fill="auto"/>
            <w:noWrap/>
            <w:vAlign w:val="bottom"/>
            <w:hideMark/>
          </w:tcPr>
          <w:p w14:paraId="6E1A8181" w14:textId="555D900A" w:rsidR="006828C4" w:rsidRPr="00467C3C" w:rsidRDefault="006828C4" w:rsidP="006828C4">
            <w:pPr>
              <w:widowControl/>
              <w:autoSpaceDE/>
              <w:autoSpaceDN/>
              <w:adjustRightInd/>
              <w:jc w:val="center"/>
              <w:rPr>
                <w:rFonts w:eastAsia="Times New Roman" w:cs="Arial"/>
                <w:color w:val="000000"/>
                <w:szCs w:val="22"/>
              </w:rPr>
            </w:pPr>
            <w:r>
              <w:rPr>
                <w:rFonts w:cs="Arial"/>
                <w:color w:val="000000"/>
                <w:szCs w:val="22"/>
              </w:rPr>
              <w:t>25</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09E72B7A" w14:textId="1D53B5F9" w:rsidR="006828C4" w:rsidRPr="00467C3C" w:rsidRDefault="006828C4" w:rsidP="006828C4">
            <w:pPr>
              <w:widowControl/>
              <w:autoSpaceDE/>
              <w:autoSpaceDN/>
              <w:adjustRightInd/>
              <w:jc w:val="center"/>
              <w:rPr>
                <w:rFonts w:eastAsia="Times New Roman" w:cs="Arial"/>
                <w:color w:val="000000"/>
                <w:szCs w:val="22"/>
              </w:rPr>
            </w:pPr>
            <w:r>
              <w:rPr>
                <w:rFonts w:cs="Arial"/>
                <w:color w:val="000000"/>
                <w:szCs w:val="22"/>
              </w:rPr>
              <w:t>11</w:t>
            </w:r>
          </w:p>
        </w:tc>
      </w:tr>
    </w:tbl>
    <w:p w14:paraId="26CC2FA8" w14:textId="3FCE82FB" w:rsidR="00CE7DA1" w:rsidRDefault="00CE7DA1" w:rsidP="002C5529">
      <w:pPr>
        <w:rPr>
          <w:rFonts w:cs="Arial"/>
        </w:rPr>
      </w:pPr>
    </w:p>
    <w:p w14:paraId="188340D4" w14:textId="77777777" w:rsidR="0071124F" w:rsidRPr="002C5529" w:rsidRDefault="0071124F" w:rsidP="0071124F">
      <w:pPr>
        <w:rPr>
          <w:rFonts w:cs="Arial"/>
        </w:rPr>
      </w:pPr>
      <w:r>
        <w:rPr>
          <w:rFonts w:cs="Arial"/>
        </w:rPr>
        <w:t>Note:  FYI Properties is the owner of 1500 Jefferson which houses the state data center.</w:t>
      </w:r>
      <w:r w:rsidRPr="000F697B">
        <w:rPr>
          <w:rFonts w:cs="Arial"/>
          <w:szCs w:val="22"/>
        </w:rPr>
        <w:t xml:space="preserve"> </w:t>
      </w:r>
    </w:p>
    <w:p w14:paraId="7083A555" w14:textId="77777777" w:rsidR="0071124F" w:rsidRDefault="0071124F" w:rsidP="002C5529">
      <w:pPr>
        <w:rPr>
          <w:rFonts w:cs="Arial"/>
        </w:rPr>
      </w:pPr>
    </w:p>
    <w:tbl>
      <w:tblPr>
        <w:tblW w:w="5000" w:type="pct"/>
        <w:tblLook w:val="04A0" w:firstRow="1" w:lastRow="0" w:firstColumn="1" w:lastColumn="0" w:noHBand="0" w:noVBand="1"/>
      </w:tblPr>
      <w:tblGrid>
        <w:gridCol w:w="4817"/>
        <w:gridCol w:w="2452"/>
        <w:gridCol w:w="2091"/>
      </w:tblGrid>
      <w:tr w:rsidR="00B30870" w:rsidRPr="00B30870" w14:paraId="022003E7" w14:textId="77777777" w:rsidTr="003E58F8">
        <w:trPr>
          <w:trHeight w:val="450"/>
        </w:trPr>
        <w:tc>
          <w:tcPr>
            <w:tcW w:w="5000" w:type="pct"/>
            <w:gridSpan w:val="3"/>
            <w:tcBorders>
              <w:top w:val="nil"/>
              <w:left w:val="nil"/>
              <w:bottom w:val="nil"/>
              <w:right w:val="nil"/>
            </w:tcBorders>
            <w:shd w:val="clear" w:color="auto" w:fill="auto"/>
            <w:noWrap/>
            <w:hideMark/>
          </w:tcPr>
          <w:p w14:paraId="2C563445" w14:textId="77777777" w:rsidR="00B30870" w:rsidRPr="00B30870" w:rsidRDefault="00B30870">
            <w:pPr>
              <w:widowControl/>
              <w:autoSpaceDE/>
              <w:autoSpaceDN/>
              <w:adjustRightInd/>
              <w:rPr>
                <w:rFonts w:eastAsia="Times New Roman" w:cs="Arial"/>
                <w:b/>
                <w:bCs/>
                <w:color w:val="000000"/>
                <w:szCs w:val="22"/>
              </w:rPr>
            </w:pPr>
            <w:r w:rsidRPr="00B30870">
              <w:rPr>
                <w:rFonts w:eastAsia="Times New Roman" w:cs="Arial"/>
                <w:b/>
                <w:bCs/>
                <w:color w:val="000000"/>
                <w:szCs w:val="22"/>
              </w:rPr>
              <w:t>Top 10 vendors with the Most Contracts for All Fiscal Years</w:t>
            </w:r>
          </w:p>
        </w:tc>
      </w:tr>
      <w:tr w:rsidR="00B30870" w:rsidRPr="00B30870" w14:paraId="38C237A4" w14:textId="77777777" w:rsidTr="003E58F8">
        <w:trPr>
          <w:trHeight w:val="285"/>
        </w:trPr>
        <w:tc>
          <w:tcPr>
            <w:tcW w:w="2573" w:type="pct"/>
            <w:tcBorders>
              <w:top w:val="single" w:sz="4" w:space="0" w:color="95B3D7"/>
              <w:left w:val="single" w:sz="4" w:space="0" w:color="95B3D7"/>
              <w:bottom w:val="single" w:sz="4" w:space="0" w:color="95B3D7"/>
              <w:right w:val="nil"/>
            </w:tcBorders>
            <w:shd w:val="clear" w:color="4F81BD" w:fill="4F81BD"/>
            <w:noWrap/>
            <w:hideMark/>
          </w:tcPr>
          <w:p w14:paraId="21425750" w14:textId="77777777" w:rsidR="00B30870" w:rsidRPr="00B30870" w:rsidRDefault="00B30870">
            <w:pPr>
              <w:widowControl/>
              <w:autoSpaceDE/>
              <w:autoSpaceDN/>
              <w:adjustRightInd/>
              <w:rPr>
                <w:rFonts w:eastAsia="Times New Roman" w:cs="Arial"/>
                <w:b/>
                <w:bCs/>
                <w:color w:val="FFFFFF"/>
                <w:szCs w:val="22"/>
              </w:rPr>
            </w:pPr>
            <w:r w:rsidRPr="00B30870">
              <w:rPr>
                <w:rFonts w:eastAsia="Times New Roman" w:cs="Arial"/>
                <w:b/>
                <w:bCs/>
                <w:color w:val="FFFFFF"/>
                <w:szCs w:val="22"/>
              </w:rPr>
              <w:t>Vendor</w:t>
            </w:r>
          </w:p>
        </w:tc>
        <w:tc>
          <w:tcPr>
            <w:tcW w:w="1310" w:type="pct"/>
            <w:tcBorders>
              <w:top w:val="single" w:sz="4" w:space="0" w:color="95B3D7"/>
              <w:left w:val="nil"/>
              <w:bottom w:val="single" w:sz="4" w:space="0" w:color="95B3D7"/>
              <w:right w:val="nil"/>
            </w:tcBorders>
            <w:shd w:val="clear" w:color="4F81BD" w:fill="4F81BD"/>
            <w:noWrap/>
            <w:vAlign w:val="bottom"/>
            <w:hideMark/>
          </w:tcPr>
          <w:p w14:paraId="091C59DB" w14:textId="77777777" w:rsidR="00B30870" w:rsidRPr="00B30870" w:rsidRDefault="00B30870" w:rsidP="00B30870">
            <w:pPr>
              <w:widowControl/>
              <w:autoSpaceDE/>
              <w:autoSpaceDN/>
              <w:adjustRightInd/>
              <w:jc w:val="center"/>
              <w:rPr>
                <w:rFonts w:eastAsia="Times New Roman" w:cs="Arial"/>
                <w:b/>
                <w:bCs/>
                <w:color w:val="FFFFFF"/>
                <w:szCs w:val="22"/>
              </w:rPr>
            </w:pPr>
            <w:r w:rsidRPr="00B30870">
              <w:rPr>
                <w:rFonts w:eastAsia="Times New Roman" w:cs="Arial"/>
                <w:b/>
                <w:bCs/>
                <w:color w:val="FFFFFF"/>
                <w:szCs w:val="22"/>
              </w:rPr>
              <w:t>All FY Spend</w:t>
            </w:r>
          </w:p>
        </w:tc>
        <w:tc>
          <w:tcPr>
            <w:tcW w:w="1117" w:type="pct"/>
            <w:tcBorders>
              <w:top w:val="single" w:sz="4" w:space="0" w:color="95B3D7"/>
              <w:left w:val="nil"/>
              <w:bottom w:val="single" w:sz="4" w:space="0" w:color="95B3D7"/>
              <w:right w:val="single" w:sz="4" w:space="0" w:color="95B3D7"/>
            </w:tcBorders>
            <w:shd w:val="clear" w:color="4F81BD" w:fill="4F81BD"/>
            <w:noWrap/>
            <w:vAlign w:val="bottom"/>
            <w:hideMark/>
          </w:tcPr>
          <w:p w14:paraId="1FAFDD1C" w14:textId="77777777" w:rsidR="00B30870" w:rsidRPr="00B30870" w:rsidRDefault="00B30870" w:rsidP="00B30870">
            <w:pPr>
              <w:widowControl/>
              <w:autoSpaceDE/>
              <w:autoSpaceDN/>
              <w:adjustRightInd/>
              <w:rPr>
                <w:rFonts w:eastAsia="Times New Roman" w:cs="Arial"/>
                <w:b/>
                <w:bCs/>
                <w:color w:val="FFFFFF"/>
                <w:szCs w:val="22"/>
              </w:rPr>
            </w:pPr>
            <w:r w:rsidRPr="00B30870">
              <w:rPr>
                <w:rFonts w:eastAsia="Times New Roman" w:cs="Arial"/>
                <w:b/>
                <w:bCs/>
                <w:color w:val="FFFFFF"/>
                <w:szCs w:val="22"/>
              </w:rPr>
              <w:t xml:space="preserve"># </w:t>
            </w:r>
            <w:proofErr w:type="gramStart"/>
            <w:r w:rsidRPr="00B30870">
              <w:rPr>
                <w:rFonts w:eastAsia="Times New Roman" w:cs="Arial"/>
                <w:b/>
                <w:bCs/>
                <w:color w:val="FFFFFF"/>
                <w:szCs w:val="22"/>
              </w:rPr>
              <w:t>of</w:t>
            </w:r>
            <w:proofErr w:type="gramEnd"/>
            <w:r w:rsidRPr="00B30870">
              <w:rPr>
                <w:rFonts w:eastAsia="Times New Roman" w:cs="Arial"/>
                <w:b/>
                <w:bCs/>
                <w:color w:val="FFFFFF"/>
                <w:szCs w:val="22"/>
              </w:rPr>
              <w:t xml:space="preserve"> Contracts</w:t>
            </w:r>
          </w:p>
        </w:tc>
      </w:tr>
      <w:tr w:rsidR="006828C4" w:rsidRPr="00B30870" w14:paraId="6AC62280" w14:textId="77777777" w:rsidTr="00B30870">
        <w:trPr>
          <w:trHeight w:val="285"/>
        </w:trPr>
        <w:tc>
          <w:tcPr>
            <w:tcW w:w="2573" w:type="pct"/>
            <w:tcBorders>
              <w:top w:val="single" w:sz="4" w:space="0" w:color="95B3D7"/>
              <w:left w:val="single" w:sz="4" w:space="0" w:color="95B3D7"/>
              <w:bottom w:val="single" w:sz="4" w:space="0" w:color="95B3D7"/>
              <w:right w:val="nil"/>
            </w:tcBorders>
            <w:shd w:val="clear" w:color="DCE6F1" w:fill="DCE6F1"/>
            <w:noWrap/>
            <w:vAlign w:val="bottom"/>
            <w:hideMark/>
          </w:tcPr>
          <w:p w14:paraId="0DDD5876" w14:textId="3121ACDF" w:rsidR="006828C4" w:rsidRPr="00B30870" w:rsidRDefault="006828C4" w:rsidP="006828C4">
            <w:pPr>
              <w:widowControl/>
              <w:autoSpaceDE/>
              <w:autoSpaceDN/>
              <w:adjustRightInd/>
              <w:rPr>
                <w:rFonts w:eastAsia="Times New Roman" w:cs="Arial"/>
                <w:color w:val="000000"/>
                <w:szCs w:val="22"/>
              </w:rPr>
            </w:pPr>
            <w:r>
              <w:rPr>
                <w:rFonts w:cs="Arial"/>
                <w:color w:val="000000"/>
                <w:szCs w:val="22"/>
              </w:rPr>
              <w:t>SHI</w:t>
            </w:r>
          </w:p>
        </w:tc>
        <w:tc>
          <w:tcPr>
            <w:tcW w:w="1310" w:type="pct"/>
            <w:tcBorders>
              <w:top w:val="single" w:sz="4" w:space="0" w:color="95B3D7"/>
              <w:left w:val="nil"/>
              <w:bottom w:val="single" w:sz="4" w:space="0" w:color="95B3D7"/>
              <w:right w:val="nil"/>
            </w:tcBorders>
            <w:shd w:val="clear" w:color="DCE6F1" w:fill="DCE6F1"/>
            <w:noWrap/>
            <w:vAlign w:val="bottom"/>
            <w:hideMark/>
          </w:tcPr>
          <w:p w14:paraId="7F975E16" w14:textId="1B5DE9EE" w:rsidR="006828C4" w:rsidRPr="00B30870" w:rsidRDefault="006828C4" w:rsidP="006828C4">
            <w:pPr>
              <w:widowControl/>
              <w:autoSpaceDE/>
              <w:autoSpaceDN/>
              <w:adjustRightInd/>
              <w:rPr>
                <w:rFonts w:eastAsia="Times New Roman" w:cs="Arial"/>
                <w:color w:val="000000"/>
                <w:szCs w:val="22"/>
              </w:rPr>
            </w:pPr>
            <w:r>
              <w:rPr>
                <w:rFonts w:cs="Arial"/>
                <w:color w:val="000000"/>
                <w:szCs w:val="22"/>
              </w:rPr>
              <w:t xml:space="preserve"> $      185,122,124 </w:t>
            </w:r>
          </w:p>
        </w:tc>
        <w:tc>
          <w:tcPr>
            <w:tcW w:w="1117" w:type="pct"/>
            <w:tcBorders>
              <w:top w:val="single" w:sz="4" w:space="0" w:color="95B3D7"/>
              <w:left w:val="nil"/>
              <w:bottom w:val="single" w:sz="4" w:space="0" w:color="95B3D7"/>
              <w:right w:val="single" w:sz="4" w:space="0" w:color="95B3D7"/>
            </w:tcBorders>
            <w:shd w:val="clear" w:color="DCE6F1" w:fill="DCE6F1"/>
            <w:noWrap/>
            <w:vAlign w:val="bottom"/>
            <w:hideMark/>
          </w:tcPr>
          <w:p w14:paraId="6D016D2C" w14:textId="57258B40" w:rsidR="006828C4" w:rsidRPr="00B30870" w:rsidRDefault="006828C4" w:rsidP="006828C4">
            <w:pPr>
              <w:widowControl/>
              <w:autoSpaceDE/>
              <w:autoSpaceDN/>
              <w:adjustRightInd/>
              <w:jc w:val="center"/>
              <w:rPr>
                <w:rFonts w:eastAsia="Times New Roman" w:cs="Arial"/>
                <w:color w:val="000000"/>
                <w:szCs w:val="22"/>
              </w:rPr>
            </w:pPr>
            <w:r>
              <w:rPr>
                <w:rFonts w:cs="Arial"/>
                <w:color w:val="000000"/>
                <w:szCs w:val="22"/>
              </w:rPr>
              <w:t>380</w:t>
            </w:r>
          </w:p>
        </w:tc>
      </w:tr>
      <w:tr w:rsidR="006828C4" w:rsidRPr="00B30870" w14:paraId="265A9CA8" w14:textId="77777777" w:rsidTr="003E58F8">
        <w:trPr>
          <w:trHeight w:val="285"/>
        </w:trPr>
        <w:tc>
          <w:tcPr>
            <w:tcW w:w="2573" w:type="pct"/>
            <w:tcBorders>
              <w:top w:val="single" w:sz="4" w:space="0" w:color="95B3D7"/>
              <w:left w:val="single" w:sz="4" w:space="0" w:color="95B3D7"/>
              <w:bottom w:val="single" w:sz="4" w:space="0" w:color="95B3D7"/>
              <w:right w:val="nil"/>
            </w:tcBorders>
            <w:shd w:val="clear" w:color="auto" w:fill="auto"/>
            <w:noWrap/>
            <w:vAlign w:val="bottom"/>
            <w:hideMark/>
          </w:tcPr>
          <w:p w14:paraId="4E266988" w14:textId="1EEB817B" w:rsidR="006828C4" w:rsidRPr="00B30870" w:rsidRDefault="006828C4" w:rsidP="006828C4">
            <w:pPr>
              <w:widowControl/>
              <w:autoSpaceDE/>
              <w:autoSpaceDN/>
              <w:adjustRightInd/>
              <w:rPr>
                <w:rFonts w:eastAsia="Times New Roman" w:cs="Arial"/>
                <w:color w:val="000000"/>
                <w:szCs w:val="22"/>
              </w:rPr>
            </w:pPr>
            <w:r>
              <w:rPr>
                <w:rFonts w:cs="Arial"/>
                <w:color w:val="000000"/>
                <w:szCs w:val="22"/>
              </w:rPr>
              <w:t>Synchronous Technologies</w:t>
            </w:r>
          </w:p>
        </w:tc>
        <w:tc>
          <w:tcPr>
            <w:tcW w:w="1310" w:type="pct"/>
            <w:tcBorders>
              <w:top w:val="single" w:sz="4" w:space="0" w:color="95B3D7"/>
              <w:left w:val="nil"/>
              <w:bottom w:val="single" w:sz="4" w:space="0" w:color="95B3D7"/>
              <w:right w:val="nil"/>
            </w:tcBorders>
            <w:shd w:val="clear" w:color="auto" w:fill="auto"/>
            <w:noWrap/>
            <w:vAlign w:val="bottom"/>
            <w:hideMark/>
          </w:tcPr>
          <w:p w14:paraId="32AB68F0" w14:textId="797F4EF5" w:rsidR="006828C4" w:rsidRPr="00B30870" w:rsidRDefault="006828C4" w:rsidP="006828C4">
            <w:pPr>
              <w:widowControl/>
              <w:autoSpaceDE/>
              <w:autoSpaceDN/>
              <w:adjustRightInd/>
              <w:rPr>
                <w:rFonts w:eastAsia="Times New Roman" w:cs="Arial"/>
                <w:color w:val="000000"/>
                <w:szCs w:val="22"/>
              </w:rPr>
            </w:pPr>
            <w:r>
              <w:rPr>
                <w:rFonts w:cs="Arial"/>
                <w:color w:val="000000"/>
                <w:szCs w:val="22"/>
              </w:rPr>
              <w:t xml:space="preserve"> $        13,177,208 </w:t>
            </w:r>
          </w:p>
        </w:tc>
        <w:tc>
          <w:tcPr>
            <w:tcW w:w="1117" w:type="pct"/>
            <w:tcBorders>
              <w:top w:val="single" w:sz="4" w:space="0" w:color="95B3D7"/>
              <w:left w:val="nil"/>
              <w:bottom w:val="single" w:sz="4" w:space="0" w:color="95B3D7"/>
              <w:right w:val="single" w:sz="4" w:space="0" w:color="95B3D7"/>
            </w:tcBorders>
            <w:shd w:val="clear" w:color="auto" w:fill="auto"/>
            <w:noWrap/>
            <w:vAlign w:val="bottom"/>
            <w:hideMark/>
          </w:tcPr>
          <w:p w14:paraId="74E5938E" w14:textId="71E0F01A" w:rsidR="006828C4" w:rsidRPr="00B30870" w:rsidRDefault="006828C4" w:rsidP="006828C4">
            <w:pPr>
              <w:widowControl/>
              <w:autoSpaceDE/>
              <w:autoSpaceDN/>
              <w:adjustRightInd/>
              <w:jc w:val="center"/>
              <w:rPr>
                <w:rFonts w:eastAsia="Times New Roman" w:cs="Arial"/>
                <w:color w:val="000000"/>
                <w:szCs w:val="22"/>
              </w:rPr>
            </w:pPr>
            <w:r>
              <w:rPr>
                <w:rFonts w:cs="Arial"/>
                <w:color w:val="000000"/>
                <w:szCs w:val="22"/>
              </w:rPr>
              <w:t>269</w:t>
            </w:r>
          </w:p>
        </w:tc>
      </w:tr>
      <w:tr w:rsidR="006828C4" w:rsidRPr="00B30870" w14:paraId="5A310085" w14:textId="77777777" w:rsidTr="00B30870">
        <w:trPr>
          <w:trHeight w:val="285"/>
        </w:trPr>
        <w:tc>
          <w:tcPr>
            <w:tcW w:w="2573" w:type="pct"/>
            <w:tcBorders>
              <w:top w:val="single" w:sz="4" w:space="0" w:color="95B3D7"/>
              <w:left w:val="single" w:sz="4" w:space="0" w:color="95B3D7"/>
              <w:bottom w:val="single" w:sz="4" w:space="0" w:color="95B3D7"/>
              <w:right w:val="nil"/>
            </w:tcBorders>
            <w:shd w:val="clear" w:color="DCE6F1" w:fill="DCE6F1"/>
            <w:noWrap/>
            <w:vAlign w:val="bottom"/>
            <w:hideMark/>
          </w:tcPr>
          <w:p w14:paraId="7D38AC6C" w14:textId="78FA2254" w:rsidR="006828C4" w:rsidRPr="00B30870" w:rsidRDefault="006828C4" w:rsidP="006828C4">
            <w:pPr>
              <w:widowControl/>
              <w:autoSpaceDE/>
              <w:autoSpaceDN/>
              <w:adjustRightInd/>
              <w:rPr>
                <w:rFonts w:eastAsia="Times New Roman" w:cs="Arial"/>
                <w:color w:val="000000"/>
                <w:szCs w:val="22"/>
              </w:rPr>
            </w:pPr>
            <w:r>
              <w:rPr>
                <w:rFonts w:cs="Arial"/>
                <w:color w:val="000000"/>
                <w:szCs w:val="22"/>
              </w:rPr>
              <w:t>CTS - Cabling &amp; Technology Services</w:t>
            </w:r>
          </w:p>
        </w:tc>
        <w:tc>
          <w:tcPr>
            <w:tcW w:w="1310" w:type="pct"/>
            <w:tcBorders>
              <w:top w:val="single" w:sz="4" w:space="0" w:color="95B3D7"/>
              <w:left w:val="nil"/>
              <w:bottom w:val="single" w:sz="4" w:space="0" w:color="95B3D7"/>
              <w:right w:val="nil"/>
            </w:tcBorders>
            <w:shd w:val="clear" w:color="DCE6F1" w:fill="DCE6F1"/>
            <w:noWrap/>
            <w:vAlign w:val="bottom"/>
            <w:hideMark/>
          </w:tcPr>
          <w:p w14:paraId="023BB1CF" w14:textId="42AFD1C4" w:rsidR="006828C4" w:rsidRPr="00B30870" w:rsidRDefault="006828C4" w:rsidP="006828C4">
            <w:pPr>
              <w:widowControl/>
              <w:autoSpaceDE/>
              <w:autoSpaceDN/>
              <w:adjustRightInd/>
              <w:rPr>
                <w:rFonts w:eastAsia="Times New Roman" w:cs="Arial"/>
                <w:color w:val="000000"/>
                <w:szCs w:val="22"/>
              </w:rPr>
            </w:pPr>
            <w:r>
              <w:rPr>
                <w:rFonts w:cs="Arial"/>
                <w:color w:val="000000"/>
                <w:szCs w:val="22"/>
              </w:rPr>
              <w:t xml:space="preserve"> $          2,971,343 </w:t>
            </w:r>
          </w:p>
        </w:tc>
        <w:tc>
          <w:tcPr>
            <w:tcW w:w="1117" w:type="pct"/>
            <w:tcBorders>
              <w:top w:val="single" w:sz="4" w:space="0" w:color="95B3D7"/>
              <w:left w:val="nil"/>
              <w:bottom w:val="single" w:sz="4" w:space="0" w:color="95B3D7"/>
              <w:right w:val="single" w:sz="4" w:space="0" w:color="95B3D7"/>
            </w:tcBorders>
            <w:shd w:val="clear" w:color="DCE6F1" w:fill="DCE6F1"/>
            <w:noWrap/>
            <w:vAlign w:val="bottom"/>
            <w:hideMark/>
          </w:tcPr>
          <w:p w14:paraId="47210E5E" w14:textId="5373055A" w:rsidR="006828C4" w:rsidRPr="00B30870" w:rsidRDefault="006828C4" w:rsidP="006828C4">
            <w:pPr>
              <w:widowControl/>
              <w:autoSpaceDE/>
              <w:autoSpaceDN/>
              <w:adjustRightInd/>
              <w:jc w:val="center"/>
              <w:rPr>
                <w:rFonts w:eastAsia="Times New Roman" w:cs="Arial"/>
                <w:color w:val="000000"/>
                <w:szCs w:val="22"/>
              </w:rPr>
            </w:pPr>
            <w:r>
              <w:rPr>
                <w:rFonts w:cs="Arial"/>
                <w:color w:val="000000"/>
                <w:szCs w:val="22"/>
              </w:rPr>
              <w:t>157</w:t>
            </w:r>
          </w:p>
        </w:tc>
      </w:tr>
      <w:tr w:rsidR="006828C4" w:rsidRPr="00B30870" w14:paraId="0289C191" w14:textId="77777777" w:rsidTr="003E58F8">
        <w:trPr>
          <w:trHeight w:val="285"/>
        </w:trPr>
        <w:tc>
          <w:tcPr>
            <w:tcW w:w="2573" w:type="pct"/>
            <w:tcBorders>
              <w:top w:val="single" w:sz="4" w:space="0" w:color="95B3D7"/>
              <w:left w:val="single" w:sz="4" w:space="0" w:color="95B3D7"/>
              <w:bottom w:val="single" w:sz="4" w:space="0" w:color="95B3D7"/>
              <w:right w:val="nil"/>
            </w:tcBorders>
            <w:shd w:val="clear" w:color="auto" w:fill="auto"/>
            <w:noWrap/>
            <w:vAlign w:val="bottom"/>
            <w:hideMark/>
          </w:tcPr>
          <w:p w14:paraId="24EDCD07" w14:textId="093CB003" w:rsidR="006828C4" w:rsidRPr="00B30870" w:rsidRDefault="006828C4" w:rsidP="006828C4">
            <w:pPr>
              <w:widowControl/>
              <w:autoSpaceDE/>
              <w:autoSpaceDN/>
              <w:adjustRightInd/>
              <w:rPr>
                <w:rFonts w:eastAsia="Times New Roman" w:cs="Arial"/>
                <w:color w:val="000000"/>
                <w:szCs w:val="22"/>
              </w:rPr>
            </w:pPr>
            <w:r>
              <w:rPr>
                <w:rFonts w:cs="Arial"/>
                <w:color w:val="000000"/>
                <w:szCs w:val="22"/>
              </w:rPr>
              <w:t>CDW Government, Inc.</w:t>
            </w:r>
          </w:p>
        </w:tc>
        <w:tc>
          <w:tcPr>
            <w:tcW w:w="1310" w:type="pct"/>
            <w:tcBorders>
              <w:top w:val="single" w:sz="4" w:space="0" w:color="95B3D7"/>
              <w:left w:val="nil"/>
              <w:bottom w:val="single" w:sz="4" w:space="0" w:color="95B3D7"/>
              <w:right w:val="nil"/>
            </w:tcBorders>
            <w:shd w:val="clear" w:color="auto" w:fill="auto"/>
            <w:noWrap/>
            <w:vAlign w:val="bottom"/>
            <w:hideMark/>
          </w:tcPr>
          <w:p w14:paraId="51DF4FCC" w14:textId="413A8950" w:rsidR="006828C4" w:rsidRPr="00B30870" w:rsidRDefault="006828C4" w:rsidP="006828C4">
            <w:pPr>
              <w:widowControl/>
              <w:autoSpaceDE/>
              <w:autoSpaceDN/>
              <w:adjustRightInd/>
              <w:rPr>
                <w:rFonts w:eastAsia="Times New Roman" w:cs="Arial"/>
                <w:color w:val="000000"/>
                <w:szCs w:val="22"/>
              </w:rPr>
            </w:pPr>
            <w:r>
              <w:rPr>
                <w:rFonts w:cs="Arial"/>
                <w:color w:val="000000"/>
                <w:szCs w:val="22"/>
              </w:rPr>
              <w:t xml:space="preserve"> $      151,439,988 </w:t>
            </w:r>
          </w:p>
        </w:tc>
        <w:tc>
          <w:tcPr>
            <w:tcW w:w="1117" w:type="pct"/>
            <w:tcBorders>
              <w:top w:val="single" w:sz="4" w:space="0" w:color="95B3D7"/>
              <w:left w:val="nil"/>
              <w:bottom w:val="single" w:sz="4" w:space="0" w:color="95B3D7"/>
              <w:right w:val="single" w:sz="4" w:space="0" w:color="95B3D7"/>
            </w:tcBorders>
            <w:shd w:val="clear" w:color="auto" w:fill="auto"/>
            <w:noWrap/>
            <w:vAlign w:val="bottom"/>
            <w:hideMark/>
          </w:tcPr>
          <w:p w14:paraId="7F051F2B" w14:textId="48D735CC" w:rsidR="006828C4" w:rsidRPr="00B30870" w:rsidRDefault="006828C4" w:rsidP="006828C4">
            <w:pPr>
              <w:widowControl/>
              <w:autoSpaceDE/>
              <w:autoSpaceDN/>
              <w:adjustRightInd/>
              <w:jc w:val="center"/>
              <w:rPr>
                <w:rFonts w:eastAsia="Times New Roman" w:cs="Arial"/>
                <w:color w:val="000000"/>
                <w:szCs w:val="22"/>
              </w:rPr>
            </w:pPr>
            <w:r>
              <w:rPr>
                <w:rFonts w:cs="Arial"/>
                <w:color w:val="000000"/>
                <w:szCs w:val="22"/>
              </w:rPr>
              <w:t>109</w:t>
            </w:r>
          </w:p>
        </w:tc>
      </w:tr>
      <w:tr w:rsidR="006828C4" w:rsidRPr="00B30870" w14:paraId="53F2810F" w14:textId="77777777" w:rsidTr="00B30870">
        <w:trPr>
          <w:trHeight w:val="285"/>
        </w:trPr>
        <w:tc>
          <w:tcPr>
            <w:tcW w:w="2573" w:type="pct"/>
            <w:tcBorders>
              <w:top w:val="single" w:sz="4" w:space="0" w:color="95B3D7"/>
              <w:left w:val="single" w:sz="4" w:space="0" w:color="95B3D7"/>
              <w:bottom w:val="single" w:sz="4" w:space="0" w:color="95B3D7"/>
              <w:right w:val="nil"/>
            </w:tcBorders>
            <w:shd w:val="clear" w:color="DCE6F1" w:fill="DCE6F1"/>
            <w:noWrap/>
            <w:vAlign w:val="bottom"/>
            <w:hideMark/>
          </w:tcPr>
          <w:p w14:paraId="79D37E69" w14:textId="0826CCA5" w:rsidR="006828C4" w:rsidRPr="00B30870" w:rsidRDefault="006828C4" w:rsidP="006828C4">
            <w:pPr>
              <w:widowControl/>
              <w:autoSpaceDE/>
              <w:autoSpaceDN/>
              <w:adjustRightInd/>
              <w:rPr>
                <w:rFonts w:eastAsia="Times New Roman" w:cs="Arial"/>
                <w:color w:val="000000"/>
                <w:szCs w:val="22"/>
              </w:rPr>
            </w:pPr>
            <w:r>
              <w:rPr>
                <w:rFonts w:cs="Arial"/>
                <w:color w:val="000000"/>
                <w:szCs w:val="22"/>
              </w:rPr>
              <w:t>Zones Inc</w:t>
            </w:r>
          </w:p>
        </w:tc>
        <w:tc>
          <w:tcPr>
            <w:tcW w:w="1310" w:type="pct"/>
            <w:tcBorders>
              <w:top w:val="single" w:sz="4" w:space="0" w:color="95B3D7"/>
              <w:left w:val="nil"/>
              <w:bottom w:val="single" w:sz="4" w:space="0" w:color="95B3D7"/>
              <w:right w:val="nil"/>
            </w:tcBorders>
            <w:shd w:val="clear" w:color="DCE6F1" w:fill="DCE6F1"/>
            <w:noWrap/>
            <w:vAlign w:val="bottom"/>
            <w:hideMark/>
          </w:tcPr>
          <w:p w14:paraId="41A57ED4" w14:textId="45F86AE6" w:rsidR="006828C4" w:rsidRPr="00B30870" w:rsidRDefault="006828C4" w:rsidP="006828C4">
            <w:pPr>
              <w:widowControl/>
              <w:autoSpaceDE/>
              <w:autoSpaceDN/>
              <w:adjustRightInd/>
              <w:rPr>
                <w:rFonts w:eastAsia="Times New Roman" w:cs="Arial"/>
                <w:color w:val="000000"/>
                <w:szCs w:val="22"/>
              </w:rPr>
            </w:pPr>
            <w:r>
              <w:rPr>
                <w:rFonts w:cs="Arial"/>
                <w:color w:val="000000"/>
                <w:szCs w:val="22"/>
              </w:rPr>
              <w:t xml:space="preserve"> $          7,486,106 </w:t>
            </w:r>
          </w:p>
        </w:tc>
        <w:tc>
          <w:tcPr>
            <w:tcW w:w="1117" w:type="pct"/>
            <w:tcBorders>
              <w:top w:val="single" w:sz="4" w:space="0" w:color="95B3D7"/>
              <w:left w:val="nil"/>
              <w:bottom w:val="single" w:sz="4" w:space="0" w:color="95B3D7"/>
              <w:right w:val="single" w:sz="4" w:space="0" w:color="95B3D7"/>
            </w:tcBorders>
            <w:shd w:val="clear" w:color="DCE6F1" w:fill="DCE6F1"/>
            <w:noWrap/>
            <w:vAlign w:val="bottom"/>
            <w:hideMark/>
          </w:tcPr>
          <w:p w14:paraId="04FF5F2A" w14:textId="6BD0D02F" w:rsidR="006828C4" w:rsidRPr="00B30870" w:rsidRDefault="006828C4" w:rsidP="006828C4">
            <w:pPr>
              <w:widowControl/>
              <w:autoSpaceDE/>
              <w:autoSpaceDN/>
              <w:adjustRightInd/>
              <w:jc w:val="center"/>
              <w:rPr>
                <w:rFonts w:eastAsia="Times New Roman" w:cs="Arial"/>
                <w:color w:val="000000"/>
                <w:szCs w:val="22"/>
              </w:rPr>
            </w:pPr>
            <w:r>
              <w:rPr>
                <w:rFonts w:cs="Arial"/>
                <w:color w:val="000000"/>
                <w:szCs w:val="22"/>
              </w:rPr>
              <w:t>103</w:t>
            </w:r>
          </w:p>
        </w:tc>
      </w:tr>
      <w:tr w:rsidR="006828C4" w:rsidRPr="00B30870" w14:paraId="355B4ADD" w14:textId="77777777" w:rsidTr="003E58F8">
        <w:trPr>
          <w:trHeight w:val="285"/>
        </w:trPr>
        <w:tc>
          <w:tcPr>
            <w:tcW w:w="2573" w:type="pct"/>
            <w:tcBorders>
              <w:top w:val="single" w:sz="4" w:space="0" w:color="95B3D7"/>
              <w:left w:val="single" w:sz="4" w:space="0" w:color="95B3D7"/>
              <w:bottom w:val="single" w:sz="4" w:space="0" w:color="95B3D7"/>
              <w:right w:val="nil"/>
            </w:tcBorders>
            <w:shd w:val="clear" w:color="auto" w:fill="auto"/>
            <w:noWrap/>
            <w:vAlign w:val="bottom"/>
            <w:hideMark/>
          </w:tcPr>
          <w:p w14:paraId="194DFC23" w14:textId="6765D3ED" w:rsidR="006828C4" w:rsidRPr="00B30870" w:rsidRDefault="006828C4" w:rsidP="006828C4">
            <w:pPr>
              <w:widowControl/>
              <w:autoSpaceDE/>
              <w:autoSpaceDN/>
              <w:adjustRightInd/>
              <w:rPr>
                <w:rFonts w:eastAsia="Times New Roman" w:cs="Arial"/>
                <w:color w:val="000000"/>
                <w:szCs w:val="22"/>
              </w:rPr>
            </w:pPr>
            <w:r>
              <w:rPr>
                <w:rFonts w:cs="Arial"/>
                <w:color w:val="000000"/>
                <w:szCs w:val="22"/>
              </w:rPr>
              <w:t>Hewlett-Packard Enterprise Company</w:t>
            </w:r>
          </w:p>
        </w:tc>
        <w:tc>
          <w:tcPr>
            <w:tcW w:w="1310" w:type="pct"/>
            <w:tcBorders>
              <w:top w:val="single" w:sz="4" w:space="0" w:color="95B3D7"/>
              <w:left w:val="nil"/>
              <w:bottom w:val="single" w:sz="4" w:space="0" w:color="95B3D7"/>
              <w:right w:val="nil"/>
            </w:tcBorders>
            <w:shd w:val="clear" w:color="auto" w:fill="auto"/>
            <w:noWrap/>
            <w:vAlign w:val="bottom"/>
            <w:hideMark/>
          </w:tcPr>
          <w:p w14:paraId="5FCE7C77" w14:textId="74A8C192" w:rsidR="006828C4" w:rsidRPr="00B30870" w:rsidRDefault="006828C4" w:rsidP="006828C4">
            <w:pPr>
              <w:widowControl/>
              <w:autoSpaceDE/>
              <w:autoSpaceDN/>
              <w:adjustRightInd/>
              <w:rPr>
                <w:rFonts w:eastAsia="Times New Roman" w:cs="Arial"/>
                <w:color w:val="000000"/>
                <w:szCs w:val="22"/>
              </w:rPr>
            </w:pPr>
            <w:r>
              <w:rPr>
                <w:rFonts w:cs="Arial"/>
                <w:color w:val="000000"/>
                <w:szCs w:val="22"/>
              </w:rPr>
              <w:t xml:space="preserve"> $        61,483,518 </w:t>
            </w:r>
          </w:p>
        </w:tc>
        <w:tc>
          <w:tcPr>
            <w:tcW w:w="1117" w:type="pct"/>
            <w:tcBorders>
              <w:top w:val="single" w:sz="4" w:space="0" w:color="95B3D7"/>
              <w:left w:val="nil"/>
              <w:bottom w:val="single" w:sz="4" w:space="0" w:color="95B3D7"/>
              <w:right w:val="single" w:sz="4" w:space="0" w:color="95B3D7"/>
            </w:tcBorders>
            <w:shd w:val="clear" w:color="auto" w:fill="auto"/>
            <w:noWrap/>
            <w:vAlign w:val="bottom"/>
            <w:hideMark/>
          </w:tcPr>
          <w:p w14:paraId="0F89D273" w14:textId="4E3EEF12" w:rsidR="006828C4" w:rsidRPr="00B30870" w:rsidRDefault="006828C4" w:rsidP="006828C4">
            <w:pPr>
              <w:widowControl/>
              <w:autoSpaceDE/>
              <w:autoSpaceDN/>
              <w:adjustRightInd/>
              <w:jc w:val="center"/>
              <w:rPr>
                <w:rFonts w:eastAsia="Times New Roman" w:cs="Arial"/>
                <w:color w:val="000000"/>
                <w:szCs w:val="22"/>
              </w:rPr>
            </w:pPr>
            <w:r>
              <w:rPr>
                <w:rFonts w:cs="Arial"/>
                <w:color w:val="000000"/>
                <w:szCs w:val="22"/>
              </w:rPr>
              <w:t>96</w:t>
            </w:r>
          </w:p>
        </w:tc>
      </w:tr>
      <w:tr w:rsidR="006828C4" w:rsidRPr="00B30870" w14:paraId="5A1CE77A" w14:textId="77777777" w:rsidTr="00B30870">
        <w:trPr>
          <w:trHeight w:val="285"/>
        </w:trPr>
        <w:tc>
          <w:tcPr>
            <w:tcW w:w="2573" w:type="pct"/>
            <w:tcBorders>
              <w:top w:val="single" w:sz="4" w:space="0" w:color="95B3D7"/>
              <w:left w:val="single" w:sz="4" w:space="0" w:color="95B3D7"/>
              <w:bottom w:val="single" w:sz="4" w:space="0" w:color="95B3D7"/>
              <w:right w:val="nil"/>
            </w:tcBorders>
            <w:shd w:val="clear" w:color="DCE6F1" w:fill="DCE6F1"/>
            <w:noWrap/>
            <w:vAlign w:val="bottom"/>
            <w:hideMark/>
          </w:tcPr>
          <w:p w14:paraId="0A53C5E6" w14:textId="76E9EC73" w:rsidR="006828C4" w:rsidRPr="00B30870" w:rsidRDefault="006828C4" w:rsidP="006828C4">
            <w:pPr>
              <w:widowControl/>
              <w:autoSpaceDE/>
              <w:autoSpaceDN/>
              <w:adjustRightInd/>
              <w:rPr>
                <w:rFonts w:eastAsia="Times New Roman" w:cs="Arial"/>
                <w:color w:val="000000"/>
                <w:szCs w:val="22"/>
              </w:rPr>
            </w:pPr>
            <w:r>
              <w:rPr>
                <w:rFonts w:cs="Arial"/>
                <w:color w:val="000000"/>
                <w:szCs w:val="22"/>
              </w:rPr>
              <w:t>Dell</w:t>
            </w:r>
          </w:p>
        </w:tc>
        <w:tc>
          <w:tcPr>
            <w:tcW w:w="1310" w:type="pct"/>
            <w:tcBorders>
              <w:top w:val="single" w:sz="4" w:space="0" w:color="95B3D7"/>
              <w:left w:val="nil"/>
              <w:bottom w:val="single" w:sz="4" w:space="0" w:color="95B3D7"/>
              <w:right w:val="nil"/>
            </w:tcBorders>
            <w:shd w:val="clear" w:color="DCE6F1" w:fill="DCE6F1"/>
            <w:noWrap/>
            <w:vAlign w:val="bottom"/>
            <w:hideMark/>
          </w:tcPr>
          <w:p w14:paraId="4ADBB237" w14:textId="13E22BDF" w:rsidR="006828C4" w:rsidRPr="00B30870" w:rsidRDefault="006828C4" w:rsidP="006828C4">
            <w:pPr>
              <w:widowControl/>
              <w:autoSpaceDE/>
              <w:autoSpaceDN/>
              <w:adjustRightInd/>
              <w:rPr>
                <w:rFonts w:eastAsia="Times New Roman" w:cs="Arial"/>
                <w:color w:val="000000"/>
                <w:szCs w:val="22"/>
              </w:rPr>
            </w:pPr>
            <w:r>
              <w:rPr>
                <w:rFonts w:cs="Arial"/>
                <w:color w:val="000000"/>
                <w:szCs w:val="22"/>
              </w:rPr>
              <w:t xml:space="preserve"> $      172,139,316 </w:t>
            </w:r>
          </w:p>
        </w:tc>
        <w:tc>
          <w:tcPr>
            <w:tcW w:w="1117" w:type="pct"/>
            <w:tcBorders>
              <w:top w:val="single" w:sz="4" w:space="0" w:color="95B3D7"/>
              <w:left w:val="nil"/>
              <w:bottom w:val="single" w:sz="4" w:space="0" w:color="95B3D7"/>
              <w:right w:val="single" w:sz="4" w:space="0" w:color="95B3D7"/>
            </w:tcBorders>
            <w:shd w:val="clear" w:color="DCE6F1" w:fill="DCE6F1"/>
            <w:noWrap/>
            <w:vAlign w:val="bottom"/>
            <w:hideMark/>
          </w:tcPr>
          <w:p w14:paraId="6950C185" w14:textId="0008C62E" w:rsidR="006828C4" w:rsidRPr="00B30870" w:rsidRDefault="006828C4" w:rsidP="006828C4">
            <w:pPr>
              <w:widowControl/>
              <w:autoSpaceDE/>
              <w:autoSpaceDN/>
              <w:adjustRightInd/>
              <w:jc w:val="center"/>
              <w:rPr>
                <w:rFonts w:eastAsia="Times New Roman" w:cs="Arial"/>
                <w:color w:val="000000"/>
                <w:szCs w:val="22"/>
              </w:rPr>
            </w:pPr>
            <w:r>
              <w:rPr>
                <w:rFonts w:cs="Arial"/>
                <w:color w:val="000000"/>
                <w:szCs w:val="22"/>
              </w:rPr>
              <w:t>91</w:t>
            </w:r>
          </w:p>
        </w:tc>
      </w:tr>
      <w:tr w:rsidR="006828C4" w:rsidRPr="00B30870" w14:paraId="189890CC" w14:textId="77777777" w:rsidTr="003E58F8">
        <w:trPr>
          <w:trHeight w:val="285"/>
        </w:trPr>
        <w:tc>
          <w:tcPr>
            <w:tcW w:w="2573" w:type="pct"/>
            <w:tcBorders>
              <w:top w:val="single" w:sz="4" w:space="0" w:color="95B3D7"/>
              <w:left w:val="single" w:sz="4" w:space="0" w:color="95B3D7"/>
              <w:bottom w:val="single" w:sz="4" w:space="0" w:color="95B3D7"/>
              <w:right w:val="nil"/>
            </w:tcBorders>
            <w:shd w:val="clear" w:color="auto" w:fill="auto"/>
            <w:noWrap/>
            <w:vAlign w:val="bottom"/>
            <w:hideMark/>
          </w:tcPr>
          <w:p w14:paraId="21E91D32" w14:textId="13891FFC" w:rsidR="006828C4" w:rsidRPr="00B30870" w:rsidRDefault="006828C4" w:rsidP="006828C4">
            <w:pPr>
              <w:widowControl/>
              <w:autoSpaceDE/>
              <w:autoSpaceDN/>
              <w:adjustRightInd/>
              <w:rPr>
                <w:rFonts w:eastAsia="Times New Roman" w:cs="Arial"/>
                <w:color w:val="000000"/>
                <w:szCs w:val="22"/>
              </w:rPr>
            </w:pPr>
            <w:r>
              <w:rPr>
                <w:rFonts w:cs="Arial"/>
                <w:color w:val="000000"/>
                <w:szCs w:val="22"/>
              </w:rPr>
              <w:t>Right Systems</w:t>
            </w:r>
          </w:p>
        </w:tc>
        <w:tc>
          <w:tcPr>
            <w:tcW w:w="1310" w:type="pct"/>
            <w:tcBorders>
              <w:top w:val="single" w:sz="4" w:space="0" w:color="95B3D7"/>
              <w:left w:val="nil"/>
              <w:bottom w:val="single" w:sz="4" w:space="0" w:color="95B3D7"/>
              <w:right w:val="nil"/>
            </w:tcBorders>
            <w:shd w:val="clear" w:color="auto" w:fill="auto"/>
            <w:noWrap/>
            <w:vAlign w:val="bottom"/>
            <w:hideMark/>
          </w:tcPr>
          <w:p w14:paraId="0711D3E5" w14:textId="319E5B8E" w:rsidR="006828C4" w:rsidRPr="00B30870" w:rsidRDefault="006828C4" w:rsidP="006828C4">
            <w:pPr>
              <w:widowControl/>
              <w:autoSpaceDE/>
              <w:autoSpaceDN/>
              <w:adjustRightInd/>
              <w:rPr>
                <w:rFonts w:eastAsia="Times New Roman" w:cs="Arial"/>
                <w:color w:val="000000"/>
                <w:szCs w:val="22"/>
              </w:rPr>
            </w:pPr>
            <w:r>
              <w:rPr>
                <w:rFonts w:cs="Arial"/>
                <w:color w:val="000000"/>
                <w:szCs w:val="22"/>
              </w:rPr>
              <w:t xml:space="preserve"> $        20,809,266 </w:t>
            </w:r>
          </w:p>
        </w:tc>
        <w:tc>
          <w:tcPr>
            <w:tcW w:w="1117" w:type="pct"/>
            <w:tcBorders>
              <w:top w:val="single" w:sz="4" w:space="0" w:color="95B3D7"/>
              <w:left w:val="nil"/>
              <w:bottom w:val="single" w:sz="4" w:space="0" w:color="95B3D7"/>
              <w:right w:val="single" w:sz="4" w:space="0" w:color="95B3D7"/>
            </w:tcBorders>
            <w:shd w:val="clear" w:color="auto" w:fill="auto"/>
            <w:noWrap/>
            <w:vAlign w:val="bottom"/>
            <w:hideMark/>
          </w:tcPr>
          <w:p w14:paraId="51FAABAB" w14:textId="483BB64F" w:rsidR="006828C4" w:rsidRPr="00B30870" w:rsidRDefault="006828C4" w:rsidP="006828C4">
            <w:pPr>
              <w:widowControl/>
              <w:autoSpaceDE/>
              <w:autoSpaceDN/>
              <w:adjustRightInd/>
              <w:jc w:val="center"/>
              <w:rPr>
                <w:rFonts w:eastAsia="Times New Roman" w:cs="Arial"/>
                <w:color w:val="000000"/>
                <w:szCs w:val="22"/>
              </w:rPr>
            </w:pPr>
            <w:r>
              <w:rPr>
                <w:rFonts w:cs="Arial"/>
                <w:color w:val="000000"/>
                <w:szCs w:val="22"/>
              </w:rPr>
              <w:t>85</w:t>
            </w:r>
          </w:p>
        </w:tc>
      </w:tr>
      <w:tr w:rsidR="006828C4" w:rsidRPr="00B30870" w14:paraId="71B8764F" w14:textId="77777777" w:rsidTr="00B30870">
        <w:trPr>
          <w:trHeight w:val="285"/>
        </w:trPr>
        <w:tc>
          <w:tcPr>
            <w:tcW w:w="2573" w:type="pct"/>
            <w:tcBorders>
              <w:top w:val="single" w:sz="4" w:space="0" w:color="95B3D7"/>
              <w:left w:val="single" w:sz="4" w:space="0" w:color="95B3D7"/>
              <w:bottom w:val="single" w:sz="4" w:space="0" w:color="95B3D7"/>
              <w:right w:val="nil"/>
            </w:tcBorders>
            <w:shd w:val="clear" w:color="DCE6F1" w:fill="DCE6F1"/>
            <w:noWrap/>
            <w:vAlign w:val="bottom"/>
            <w:hideMark/>
          </w:tcPr>
          <w:p w14:paraId="2FF79523" w14:textId="32262511" w:rsidR="006828C4" w:rsidRPr="00B30870" w:rsidRDefault="006828C4" w:rsidP="006828C4">
            <w:pPr>
              <w:widowControl/>
              <w:autoSpaceDE/>
              <w:autoSpaceDN/>
              <w:adjustRightInd/>
              <w:rPr>
                <w:rFonts w:eastAsia="Times New Roman" w:cs="Arial"/>
                <w:color w:val="000000"/>
                <w:szCs w:val="22"/>
              </w:rPr>
            </w:pPr>
            <w:r>
              <w:rPr>
                <w:rFonts w:cs="Arial"/>
                <w:color w:val="000000"/>
                <w:szCs w:val="22"/>
              </w:rPr>
              <w:t>Microsoft</w:t>
            </w:r>
          </w:p>
        </w:tc>
        <w:tc>
          <w:tcPr>
            <w:tcW w:w="1310" w:type="pct"/>
            <w:tcBorders>
              <w:top w:val="single" w:sz="4" w:space="0" w:color="95B3D7"/>
              <w:left w:val="nil"/>
              <w:bottom w:val="single" w:sz="4" w:space="0" w:color="95B3D7"/>
              <w:right w:val="nil"/>
            </w:tcBorders>
            <w:shd w:val="clear" w:color="DCE6F1" w:fill="DCE6F1"/>
            <w:noWrap/>
            <w:vAlign w:val="bottom"/>
            <w:hideMark/>
          </w:tcPr>
          <w:p w14:paraId="48212DF1" w14:textId="5B1F1C5E" w:rsidR="006828C4" w:rsidRPr="00B30870" w:rsidRDefault="006828C4" w:rsidP="006828C4">
            <w:pPr>
              <w:widowControl/>
              <w:autoSpaceDE/>
              <w:autoSpaceDN/>
              <w:adjustRightInd/>
              <w:rPr>
                <w:rFonts w:eastAsia="Times New Roman" w:cs="Arial"/>
                <w:color w:val="000000"/>
                <w:szCs w:val="22"/>
              </w:rPr>
            </w:pPr>
            <w:r>
              <w:rPr>
                <w:rFonts w:cs="Arial"/>
                <w:color w:val="000000"/>
                <w:szCs w:val="22"/>
              </w:rPr>
              <w:t xml:space="preserve"> $      401,064,549 </w:t>
            </w:r>
          </w:p>
        </w:tc>
        <w:tc>
          <w:tcPr>
            <w:tcW w:w="1117" w:type="pct"/>
            <w:tcBorders>
              <w:top w:val="single" w:sz="4" w:space="0" w:color="95B3D7"/>
              <w:left w:val="nil"/>
              <w:bottom w:val="single" w:sz="4" w:space="0" w:color="95B3D7"/>
              <w:right w:val="single" w:sz="4" w:space="0" w:color="95B3D7"/>
            </w:tcBorders>
            <w:shd w:val="clear" w:color="DCE6F1" w:fill="DCE6F1"/>
            <w:noWrap/>
            <w:vAlign w:val="bottom"/>
            <w:hideMark/>
          </w:tcPr>
          <w:p w14:paraId="3BEC424E" w14:textId="5D406B8B" w:rsidR="006828C4" w:rsidRPr="00B30870" w:rsidRDefault="006828C4" w:rsidP="006828C4">
            <w:pPr>
              <w:widowControl/>
              <w:autoSpaceDE/>
              <w:autoSpaceDN/>
              <w:adjustRightInd/>
              <w:jc w:val="center"/>
              <w:rPr>
                <w:rFonts w:eastAsia="Times New Roman" w:cs="Arial"/>
                <w:color w:val="000000"/>
                <w:szCs w:val="22"/>
              </w:rPr>
            </w:pPr>
            <w:r>
              <w:rPr>
                <w:rFonts w:cs="Arial"/>
                <w:color w:val="000000"/>
                <w:szCs w:val="22"/>
              </w:rPr>
              <w:t>76</w:t>
            </w:r>
          </w:p>
        </w:tc>
      </w:tr>
      <w:tr w:rsidR="006828C4" w:rsidRPr="00B30870" w14:paraId="2D511910" w14:textId="77777777" w:rsidTr="003E58F8">
        <w:trPr>
          <w:trHeight w:val="285"/>
        </w:trPr>
        <w:tc>
          <w:tcPr>
            <w:tcW w:w="2573" w:type="pct"/>
            <w:tcBorders>
              <w:top w:val="single" w:sz="4" w:space="0" w:color="95B3D7"/>
              <w:left w:val="single" w:sz="4" w:space="0" w:color="95B3D7"/>
              <w:bottom w:val="single" w:sz="4" w:space="0" w:color="95B3D7"/>
              <w:right w:val="nil"/>
            </w:tcBorders>
            <w:shd w:val="clear" w:color="auto" w:fill="auto"/>
            <w:noWrap/>
            <w:vAlign w:val="bottom"/>
            <w:hideMark/>
          </w:tcPr>
          <w:p w14:paraId="4C9FBBF2" w14:textId="12EDA035" w:rsidR="006828C4" w:rsidRPr="00B30870" w:rsidRDefault="006828C4" w:rsidP="006828C4">
            <w:pPr>
              <w:widowControl/>
              <w:autoSpaceDE/>
              <w:autoSpaceDN/>
              <w:adjustRightInd/>
              <w:rPr>
                <w:rFonts w:eastAsia="Times New Roman" w:cs="Arial"/>
                <w:color w:val="000000"/>
                <w:szCs w:val="22"/>
              </w:rPr>
            </w:pPr>
            <w:r>
              <w:rPr>
                <w:rFonts w:cs="Arial"/>
                <w:color w:val="000000"/>
                <w:szCs w:val="22"/>
              </w:rPr>
              <w:t>Verizon Wireless Services LLC.</w:t>
            </w:r>
          </w:p>
        </w:tc>
        <w:tc>
          <w:tcPr>
            <w:tcW w:w="1310" w:type="pct"/>
            <w:tcBorders>
              <w:top w:val="single" w:sz="4" w:space="0" w:color="95B3D7"/>
              <w:left w:val="nil"/>
              <w:bottom w:val="single" w:sz="4" w:space="0" w:color="95B3D7"/>
              <w:right w:val="nil"/>
            </w:tcBorders>
            <w:shd w:val="clear" w:color="auto" w:fill="auto"/>
            <w:noWrap/>
            <w:vAlign w:val="bottom"/>
            <w:hideMark/>
          </w:tcPr>
          <w:p w14:paraId="26FA0783" w14:textId="312863C6" w:rsidR="006828C4" w:rsidRPr="00B30870" w:rsidRDefault="006828C4" w:rsidP="006828C4">
            <w:pPr>
              <w:widowControl/>
              <w:autoSpaceDE/>
              <w:autoSpaceDN/>
              <w:adjustRightInd/>
              <w:rPr>
                <w:rFonts w:eastAsia="Times New Roman" w:cs="Arial"/>
                <w:color w:val="000000"/>
                <w:szCs w:val="22"/>
              </w:rPr>
            </w:pPr>
            <w:r>
              <w:rPr>
                <w:rFonts w:cs="Arial"/>
                <w:color w:val="000000"/>
                <w:szCs w:val="22"/>
              </w:rPr>
              <w:t xml:space="preserve"> $        49,626,012 </w:t>
            </w:r>
          </w:p>
        </w:tc>
        <w:tc>
          <w:tcPr>
            <w:tcW w:w="1117" w:type="pct"/>
            <w:tcBorders>
              <w:top w:val="single" w:sz="4" w:space="0" w:color="95B3D7"/>
              <w:left w:val="nil"/>
              <w:bottom w:val="single" w:sz="4" w:space="0" w:color="95B3D7"/>
              <w:right w:val="single" w:sz="4" w:space="0" w:color="95B3D7"/>
            </w:tcBorders>
            <w:shd w:val="clear" w:color="auto" w:fill="auto"/>
            <w:noWrap/>
            <w:vAlign w:val="bottom"/>
            <w:hideMark/>
          </w:tcPr>
          <w:p w14:paraId="60FEE2D6" w14:textId="0F97A9B5" w:rsidR="006828C4" w:rsidRPr="00B30870" w:rsidRDefault="006828C4" w:rsidP="006828C4">
            <w:pPr>
              <w:widowControl/>
              <w:autoSpaceDE/>
              <w:autoSpaceDN/>
              <w:adjustRightInd/>
              <w:jc w:val="center"/>
              <w:rPr>
                <w:rFonts w:eastAsia="Times New Roman" w:cs="Arial"/>
                <w:color w:val="000000"/>
                <w:szCs w:val="22"/>
              </w:rPr>
            </w:pPr>
            <w:r>
              <w:rPr>
                <w:rFonts w:cs="Arial"/>
                <w:color w:val="000000"/>
                <w:szCs w:val="22"/>
              </w:rPr>
              <w:t>75</w:t>
            </w:r>
          </w:p>
        </w:tc>
      </w:tr>
    </w:tbl>
    <w:p w14:paraId="1BFEA2F9" w14:textId="77777777" w:rsidR="00295DC5" w:rsidRPr="00733D15" w:rsidRDefault="00295DC5" w:rsidP="00A712F8">
      <w:pPr>
        <w:rPr>
          <w:rFonts w:cs="Arial"/>
        </w:rPr>
      </w:pPr>
    </w:p>
    <w:p w14:paraId="12BEE102" w14:textId="65F2DB1E" w:rsidR="0062744C" w:rsidRPr="000F697B" w:rsidRDefault="0022137D" w:rsidP="002C5529">
      <w:pPr>
        <w:rPr>
          <w:rFonts w:cs="Arial"/>
          <w:szCs w:val="22"/>
        </w:rPr>
      </w:pPr>
      <w:r w:rsidRPr="003E58F8">
        <w:rPr>
          <w:rFonts w:cs="Arial"/>
          <w:szCs w:val="22"/>
        </w:rPr>
        <w:t xml:space="preserve">Agencies reported </w:t>
      </w:r>
      <w:r w:rsidR="00606FE7" w:rsidRPr="003E58F8">
        <w:rPr>
          <w:rFonts w:cs="Arial"/>
          <w:szCs w:val="22"/>
        </w:rPr>
        <w:t>$</w:t>
      </w:r>
      <w:r w:rsidR="00B30870" w:rsidRPr="003E58F8">
        <w:rPr>
          <w:rFonts w:cs="Arial"/>
          <w:szCs w:val="22"/>
        </w:rPr>
        <w:t>1</w:t>
      </w:r>
      <w:r w:rsidR="00456784" w:rsidRPr="003E58F8">
        <w:rPr>
          <w:rFonts w:cs="Arial"/>
          <w:szCs w:val="22"/>
        </w:rPr>
        <w:t>.025</w:t>
      </w:r>
      <w:r w:rsidR="00B30870" w:rsidRPr="003E58F8">
        <w:rPr>
          <w:rFonts w:cs="Arial"/>
          <w:szCs w:val="22"/>
        </w:rPr>
        <w:t xml:space="preserve"> b</w:t>
      </w:r>
      <w:r w:rsidR="00606FE7" w:rsidRPr="003E58F8">
        <w:rPr>
          <w:rFonts w:cs="Arial"/>
          <w:szCs w:val="22"/>
        </w:rPr>
        <w:t xml:space="preserve">illion in IT </w:t>
      </w:r>
      <w:r w:rsidR="0001743C" w:rsidRPr="003E58F8">
        <w:rPr>
          <w:rFonts w:cs="Arial"/>
          <w:szCs w:val="22"/>
        </w:rPr>
        <w:t>c</w:t>
      </w:r>
      <w:r w:rsidR="00606FE7" w:rsidRPr="003E58F8">
        <w:rPr>
          <w:rFonts w:cs="Arial"/>
          <w:szCs w:val="22"/>
        </w:rPr>
        <w:t xml:space="preserve">ontract spend in </w:t>
      </w:r>
      <w:r w:rsidR="00F52A33" w:rsidRPr="003E58F8">
        <w:rPr>
          <w:rFonts w:cs="Arial"/>
          <w:szCs w:val="22"/>
        </w:rPr>
        <w:t>FY21</w:t>
      </w:r>
      <w:r w:rsidR="00606FE7" w:rsidRPr="003E58F8">
        <w:rPr>
          <w:rFonts w:cs="Arial"/>
          <w:szCs w:val="22"/>
        </w:rPr>
        <w:t xml:space="preserve">, </w:t>
      </w:r>
      <w:r w:rsidRPr="003E58F8">
        <w:rPr>
          <w:rFonts w:cs="Arial"/>
          <w:szCs w:val="22"/>
        </w:rPr>
        <w:t>$</w:t>
      </w:r>
      <w:r w:rsidR="00B30870" w:rsidRPr="003E58F8">
        <w:rPr>
          <w:rFonts w:cs="Arial"/>
          <w:szCs w:val="22"/>
        </w:rPr>
        <w:t xml:space="preserve">698 </w:t>
      </w:r>
      <w:r w:rsidRPr="003E58F8">
        <w:rPr>
          <w:rFonts w:cs="Arial"/>
          <w:szCs w:val="22"/>
        </w:rPr>
        <w:t xml:space="preserve">million in FY20, </w:t>
      </w:r>
      <w:r w:rsidR="008025B7" w:rsidRPr="003E58F8">
        <w:rPr>
          <w:rFonts w:cs="Arial"/>
          <w:szCs w:val="22"/>
        </w:rPr>
        <w:t>$</w:t>
      </w:r>
      <w:r w:rsidR="00B30870" w:rsidRPr="003E58F8">
        <w:rPr>
          <w:rFonts w:cs="Arial"/>
          <w:szCs w:val="22"/>
        </w:rPr>
        <w:t xml:space="preserve">550 </w:t>
      </w:r>
      <w:r w:rsidR="009248C3" w:rsidRPr="003E58F8">
        <w:rPr>
          <w:rFonts w:cs="Arial"/>
          <w:szCs w:val="22"/>
        </w:rPr>
        <w:t>million for</w:t>
      </w:r>
      <w:r w:rsidRPr="003E58F8">
        <w:rPr>
          <w:rFonts w:cs="Arial"/>
          <w:szCs w:val="22"/>
        </w:rPr>
        <w:t xml:space="preserve"> FY19 and $</w:t>
      </w:r>
      <w:r w:rsidR="00C21F3A" w:rsidRPr="003E58F8">
        <w:rPr>
          <w:rFonts w:cs="Arial"/>
          <w:szCs w:val="22"/>
        </w:rPr>
        <w:t xml:space="preserve">484 </w:t>
      </w:r>
      <w:r w:rsidRPr="003E58F8">
        <w:rPr>
          <w:rFonts w:cs="Arial"/>
          <w:szCs w:val="22"/>
        </w:rPr>
        <w:t>million projected for FY2</w:t>
      </w:r>
      <w:r w:rsidR="00606FE7" w:rsidRPr="003E58F8">
        <w:rPr>
          <w:rFonts w:cs="Arial"/>
          <w:szCs w:val="22"/>
        </w:rPr>
        <w:t>2</w:t>
      </w:r>
      <w:r w:rsidRPr="003E58F8">
        <w:rPr>
          <w:rFonts w:cs="Arial"/>
          <w:szCs w:val="22"/>
        </w:rPr>
        <w:t xml:space="preserve">. </w:t>
      </w:r>
      <w:r w:rsidR="00BF24CD" w:rsidRPr="003E58F8">
        <w:rPr>
          <w:rFonts w:cs="Arial"/>
          <w:szCs w:val="22"/>
        </w:rPr>
        <w:t xml:space="preserve">The </w:t>
      </w:r>
      <w:r w:rsidR="00CE7DA1" w:rsidRPr="003E58F8">
        <w:rPr>
          <w:rFonts w:cs="Arial"/>
          <w:szCs w:val="22"/>
        </w:rPr>
        <w:t xml:space="preserve">following </w:t>
      </w:r>
      <w:r w:rsidR="0062744C" w:rsidRPr="003E58F8">
        <w:rPr>
          <w:rFonts w:cs="Arial"/>
          <w:szCs w:val="22"/>
        </w:rPr>
        <w:t>tables</w:t>
      </w:r>
      <w:r w:rsidR="00BF24CD" w:rsidRPr="003E58F8">
        <w:rPr>
          <w:rFonts w:cs="Arial"/>
          <w:szCs w:val="22"/>
        </w:rPr>
        <w:t xml:space="preserve"> </w:t>
      </w:r>
      <w:r w:rsidR="0062744C" w:rsidRPr="003E58F8">
        <w:rPr>
          <w:rFonts w:cs="Arial"/>
          <w:szCs w:val="22"/>
        </w:rPr>
        <w:t>display</w:t>
      </w:r>
      <w:r w:rsidR="00BF24CD" w:rsidRPr="003E58F8">
        <w:rPr>
          <w:rFonts w:cs="Arial"/>
          <w:szCs w:val="22"/>
        </w:rPr>
        <w:t xml:space="preserve"> the</w:t>
      </w:r>
      <w:r w:rsidR="0062744C" w:rsidRPr="003E58F8">
        <w:rPr>
          <w:rFonts w:cs="Arial"/>
          <w:szCs w:val="22"/>
        </w:rPr>
        <w:t xml:space="preserve"> top 10 </w:t>
      </w:r>
      <w:r w:rsidR="00BF24CD" w:rsidRPr="003E58F8">
        <w:rPr>
          <w:rFonts w:cs="Arial"/>
          <w:szCs w:val="22"/>
        </w:rPr>
        <w:t>IT V</w:t>
      </w:r>
      <w:r w:rsidR="0062744C" w:rsidRPr="003E58F8">
        <w:rPr>
          <w:rFonts w:cs="Arial"/>
          <w:szCs w:val="22"/>
        </w:rPr>
        <w:t>endor</w:t>
      </w:r>
      <w:r w:rsidR="00BF24CD" w:rsidRPr="003E58F8">
        <w:rPr>
          <w:rFonts w:cs="Arial"/>
          <w:szCs w:val="22"/>
        </w:rPr>
        <w:t>s</w:t>
      </w:r>
      <w:r w:rsidR="0062744C" w:rsidRPr="003E58F8">
        <w:rPr>
          <w:rFonts w:cs="Arial"/>
          <w:szCs w:val="22"/>
        </w:rPr>
        <w:t xml:space="preserve"> </w:t>
      </w:r>
      <w:r w:rsidR="00BF24CD" w:rsidRPr="003E58F8">
        <w:rPr>
          <w:rFonts w:cs="Arial"/>
          <w:szCs w:val="22"/>
        </w:rPr>
        <w:t>spend</w:t>
      </w:r>
      <w:r w:rsidR="0062744C" w:rsidRPr="003E58F8">
        <w:rPr>
          <w:rFonts w:cs="Arial"/>
          <w:szCs w:val="22"/>
        </w:rPr>
        <w:t xml:space="preserve"> reported for FY2</w:t>
      </w:r>
      <w:r w:rsidR="0015279C" w:rsidRPr="003E58F8">
        <w:rPr>
          <w:rFonts w:cs="Arial"/>
          <w:szCs w:val="22"/>
        </w:rPr>
        <w:t>1</w:t>
      </w:r>
      <w:r w:rsidR="0062744C" w:rsidRPr="003E58F8">
        <w:rPr>
          <w:rFonts w:cs="Arial"/>
          <w:szCs w:val="22"/>
        </w:rPr>
        <w:t>.</w:t>
      </w:r>
    </w:p>
    <w:p w14:paraId="2BAF2C8B" w14:textId="77777777" w:rsidR="00ED0F13" w:rsidRDefault="00ED0F13" w:rsidP="00A712F8">
      <w:pPr>
        <w:rPr>
          <w:rFonts w:cs="Arial"/>
          <w:szCs w:val="22"/>
        </w:rPr>
      </w:pPr>
    </w:p>
    <w:p w14:paraId="02DDA66F" w14:textId="192F7C15" w:rsidR="00FA2D3C" w:rsidRDefault="00FA2D3C" w:rsidP="00FA2D3C">
      <w:pPr>
        <w:jc w:val="both"/>
        <w:rPr>
          <w:rFonts w:cs="Arial"/>
          <w:b/>
          <w:szCs w:val="22"/>
        </w:rPr>
      </w:pPr>
      <w:r w:rsidRPr="000F697B">
        <w:rPr>
          <w:rFonts w:cs="Arial"/>
          <w:b/>
          <w:szCs w:val="22"/>
        </w:rPr>
        <w:t>Top 10 IT Vendors by FY2</w:t>
      </w:r>
      <w:r w:rsidR="00D96C88">
        <w:rPr>
          <w:rFonts w:cs="Arial"/>
          <w:b/>
          <w:szCs w:val="22"/>
        </w:rPr>
        <w:t>1</w:t>
      </w:r>
      <w:r w:rsidRPr="000F697B">
        <w:rPr>
          <w:rFonts w:cs="Arial"/>
          <w:b/>
          <w:szCs w:val="22"/>
        </w:rPr>
        <w:t xml:space="preserve"> </w:t>
      </w:r>
      <w:r w:rsidR="00BF24CD">
        <w:rPr>
          <w:rFonts w:cs="Arial"/>
          <w:b/>
          <w:szCs w:val="22"/>
        </w:rPr>
        <w:t xml:space="preserve">Combined </w:t>
      </w:r>
      <w:r w:rsidRPr="000F697B">
        <w:rPr>
          <w:rFonts w:cs="Arial"/>
          <w:b/>
          <w:szCs w:val="22"/>
        </w:rPr>
        <w:t xml:space="preserve">Spend for Master Contracts and </w:t>
      </w:r>
      <w:proofErr w:type="gramStart"/>
      <w:r w:rsidRPr="000F697B">
        <w:rPr>
          <w:rFonts w:cs="Arial"/>
          <w:b/>
          <w:szCs w:val="22"/>
        </w:rPr>
        <w:t>Non Master</w:t>
      </w:r>
      <w:proofErr w:type="gramEnd"/>
      <w:r w:rsidRPr="000F697B">
        <w:rPr>
          <w:rFonts w:cs="Arial"/>
          <w:b/>
          <w:szCs w:val="22"/>
        </w:rPr>
        <w:t xml:space="preserve"> Contracts </w:t>
      </w:r>
    </w:p>
    <w:p w14:paraId="21B516BD" w14:textId="42C8BA04" w:rsidR="00910AF6" w:rsidRDefault="00910AF6" w:rsidP="00FA2D3C">
      <w:pPr>
        <w:jc w:val="both"/>
        <w:rPr>
          <w:rFonts w:cs="Arial"/>
          <w:b/>
          <w:szCs w:val="22"/>
        </w:rPr>
      </w:pPr>
    </w:p>
    <w:tbl>
      <w:tblPr>
        <w:tblW w:w="9450" w:type="dxa"/>
        <w:tblLook w:val="04A0" w:firstRow="1" w:lastRow="0" w:firstColumn="1" w:lastColumn="0" w:noHBand="0" w:noVBand="1"/>
      </w:tblPr>
      <w:tblGrid>
        <w:gridCol w:w="5125"/>
        <w:gridCol w:w="4325"/>
      </w:tblGrid>
      <w:tr w:rsidR="00C21F3A" w:rsidRPr="00C21F3A" w14:paraId="7644319E" w14:textId="77777777" w:rsidTr="00C21F3A">
        <w:trPr>
          <w:trHeight w:val="285"/>
        </w:trPr>
        <w:tc>
          <w:tcPr>
            <w:tcW w:w="5125" w:type="dxa"/>
            <w:tcBorders>
              <w:top w:val="single" w:sz="4" w:space="0" w:color="C4D79B"/>
              <w:left w:val="single" w:sz="4" w:space="0" w:color="C4D79B"/>
              <w:bottom w:val="single" w:sz="4" w:space="0" w:color="C4D79B"/>
              <w:right w:val="nil"/>
            </w:tcBorders>
            <w:shd w:val="clear" w:color="9BBB59" w:fill="9BBB59"/>
            <w:noWrap/>
            <w:vAlign w:val="bottom"/>
            <w:hideMark/>
          </w:tcPr>
          <w:p w14:paraId="19B593D2" w14:textId="77777777" w:rsidR="00C21F3A" w:rsidRPr="00C21F3A" w:rsidRDefault="00C21F3A" w:rsidP="00C21F3A">
            <w:pPr>
              <w:widowControl/>
              <w:autoSpaceDE/>
              <w:autoSpaceDN/>
              <w:adjustRightInd/>
              <w:rPr>
                <w:rFonts w:eastAsia="Times New Roman" w:cs="Arial"/>
                <w:b/>
                <w:bCs/>
                <w:color w:val="FFFFFF"/>
                <w:szCs w:val="22"/>
              </w:rPr>
            </w:pPr>
            <w:r w:rsidRPr="00C21F3A">
              <w:rPr>
                <w:rFonts w:eastAsia="Times New Roman" w:cs="Arial"/>
                <w:b/>
                <w:bCs/>
                <w:color w:val="FFFFFF"/>
                <w:szCs w:val="22"/>
              </w:rPr>
              <w:t>Vendor</w:t>
            </w:r>
          </w:p>
        </w:tc>
        <w:tc>
          <w:tcPr>
            <w:tcW w:w="4325" w:type="dxa"/>
            <w:tcBorders>
              <w:top w:val="single" w:sz="4" w:space="0" w:color="C4D79B"/>
              <w:left w:val="nil"/>
              <w:bottom w:val="single" w:sz="4" w:space="0" w:color="C4D79B"/>
              <w:right w:val="single" w:sz="4" w:space="0" w:color="C4D79B"/>
            </w:tcBorders>
            <w:shd w:val="clear" w:color="9BBB59" w:fill="9BBB59"/>
            <w:noWrap/>
            <w:vAlign w:val="bottom"/>
            <w:hideMark/>
          </w:tcPr>
          <w:p w14:paraId="65F4AAAA" w14:textId="77777777" w:rsidR="00C21F3A" w:rsidRPr="00C21F3A" w:rsidRDefault="00C21F3A" w:rsidP="003E58F8">
            <w:pPr>
              <w:widowControl/>
              <w:autoSpaceDE/>
              <w:autoSpaceDN/>
              <w:adjustRightInd/>
              <w:jc w:val="right"/>
              <w:rPr>
                <w:rFonts w:eastAsia="Times New Roman" w:cs="Arial"/>
                <w:b/>
                <w:bCs/>
                <w:color w:val="FFFFFF"/>
                <w:szCs w:val="22"/>
              </w:rPr>
            </w:pPr>
            <w:r w:rsidRPr="00C21F3A">
              <w:rPr>
                <w:rFonts w:eastAsia="Times New Roman" w:cs="Arial"/>
                <w:b/>
                <w:bCs/>
                <w:color w:val="FFFFFF"/>
                <w:szCs w:val="22"/>
              </w:rPr>
              <w:t>FY 21 IT Contract Report Spend</w:t>
            </w:r>
          </w:p>
        </w:tc>
      </w:tr>
      <w:tr w:rsidR="006828C4" w:rsidRPr="00C21F3A" w14:paraId="20F95B6D" w14:textId="77777777" w:rsidTr="00C21F3A">
        <w:trPr>
          <w:trHeight w:val="285"/>
        </w:trPr>
        <w:tc>
          <w:tcPr>
            <w:tcW w:w="5125" w:type="dxa"/>
            <w:tcBorders>
              <w:top w:val="single" w:sz="4" w:space="0" w:color="C4D79B"/>
              <w:left w:val="single" w:sz="4" w:space="0" w:color="C4D79B"/>
              <w:bottom w:val="single" w:sz="4" w:space="0" w:color="C4D79B"/>
              <w:right w:val="nil"/>
            </w:tcBorders>
            <w:shd w:val="clear" w:color="EBF1DE" w:fill="EBF1DE"/>
            <w:noWrap/>
            <w:vAlign w:val="bottom"/>
            <w:hideMark/>
          </w:tcPr>
          <w:p w14:paraId="31306FE3" w14:textId="33A815A9"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Insight Public Sector</w:t>
            </w:r>
          </w:p>
        </w:tc>
        <w:tc>
          <w:tcPr>
            <w:tcW w:w="4325" w:type="dxa"/>
            <w:tcBorders>
              <w:top w:val="single" w:sz="4" w:space="0" w:color="C4D79B"/>
              <w:left w:val="nil"/>
              <w:bottom w:val="single" w:sz="4" w:space="0" w:color="C4D79B"/>
              <w:right w:val="single" w:sz="4" w:space="0" w:color="C4D79B"/>
            </w:tcBorders>
            <w:shd w:val="clear" w:color="EBF1DE" w:fill="EBF1DE"/>
            <w:noWrap/>
            <w:vAlign w:val="bottom"/>
            <w:hideMark/>
          </w:tcPr>
          <w:p w14:paraId="2A412A1D" w14:textId="73F08768"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 xml:space="preserve"> $                                            148,706,532 </w:t>
            </w:r>
          </w:p>
        </w:tc>
      </w:tr>
      <w:tr w:rsidR="006828C4" w:rsidRPr="00C21F3A" w14:paraId="7ED32DF3" w14:textId="77777777" w:rsidTr="00C21F3A">
        <w:trPr>
          <w:trHeight w:val="285"/>
        </w:trPr>
        <w:tc>
          <w:tcPr>
            <w:tcW w:w="5125" w:type="dxa"/>
            <w:tcBorders>
              <w:top w:val="single" w:sz="4" w:space="0" w:color="C4D79B"/>
              <w:left w:val="single" w:sz="4" w:space="0" w:color="C4D79B"/>
              <w:bottom w:val="single" w:sz="4" w:space="0" w:color="C4D79B"/>
              <w:right w:val="nil"/>
            </w:tcBorders>
            <w:shd w:val="clear" w:color="auto" w:fill="auto"/>
            <w:noWrap/>
            <w:vAlign w:val="bottom"/>
            <w:hideMark/>
          </w:tcPr>
          <w:p w14:paraId="1935239D" w14:textId="04EA6FE2"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Submittable Inc</w:t>
            </w:r>
          </w:p>
        </w:tc>
        <w:tc>
          <w:tcPr>
            <w:tcW w:w="4325" w:type="dxa"/>
            <w:tcBorders>
              <w:top w:val="single" w:sz="4" w:space="0" w:color="C4D79B"/>
              <w:left w:val="nil"/>
              <w:bottom w:val="single" w:sz="4" w:space="0" w:color="C4D79B"/>
              <w:right w:val="single" w:sz="4" w:space="0" w:color="C4D79B"/>
            </w:tcBorders>
            <w:shd w:val="clear" w:color="auto" w:fill="auto"/>
            <w:noWrap/>
            <w:vAlign w:val="bottom"/>
            <w:hideMark/>
          </w:tcPr>
          <w:p w14:paraId="26A40EA9" w14:textId="27BFBA9C"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 xml:space="preserve"> $                                              62,650,000 </w:t>
            </w:r>
          </w:p>
        </w:tc>
      </w:tr>
      <w:tr w:rsidR="006828C4" w:rsidRPr="00C21F3A" w14:paraId="6EA531ED" w14:textId="77777777" w:rsidTr="00C21F3A">
        <w:trPr>
          <w:trHeight w:val="285"/>
        </w:trPr>
        <w:tc>
          <w:tcPr>
            <w:tcW w:w="5125" w:type="dxa"/>
            <w:tcBorders>
              <w:top w:val="single" w:sz="4" w:space="0" w:color="C4D79B"/>
              <w:left w:val="single" w:sz="4" w:space="0" w:color="C4D79B"/>
              <w:bottom w:val="single" w:sz="4" w:space="0" w:color="C4D79B"/>
              <w:right w:val="nil"/>
            </w:tcBorders>
            <w:shd w:val="clear" w:color="EBF1DE" w:fill="EBF1DE"/>
            <w:noWrap/>
            <w:vAlign w:val="bottom"/>
            <w:hideMark/>
          </w:tcPr>
          <w:p w14:paraId="0696CB33" w14:textId="5C17796C"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SHI</w:t>
            </w:r>
          </w:p>
        </w:tc>
        <w:tc>
          <w:tcPr>
            <w:tcW w:w="4325" w:type="dxa"/>
            <w:tcBorders>
              <w:top w:val="single" w:sz="4" w:space="0" w:color="C4D79B"/>
              <w:left w:val="nil"/>
              <w:bottom w:val="single" w:sz="4" w:space="0" w:color="C4D79B"/>
              <w:right w:val="single" w:sz="4" w:space="0" w:color="C4D79B"/>
            </w:tcBorders>
            <w:shd w:val="clear" w:color="EBF1DE" w:fill="EBF1DE"/>
            <w:noWrap/>
            <w:vAlign w:val="bottom"/>
            <w:hideMark/>
          </w:tcPr>
          <w:p w14:paraId="61FE2A2F" w14:textId="2DC07B86"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 xml:space="preserve"> $                                              43,834,329 </w:t>
            </w:r>
          </w:p>
        </w:tc>
      </w:tr>
      <w:tr w:rsidR="006828C4" w:rsidRPr="00C21F3A" w14:paraId="7580BBD8" w14:textId="77777777" w:rsidTr="00C21F3A">
        <w:trPr>
          <w:trHeight w:val="285"/>
        </w:trPr>
        <w:tc>
          <w:tcPr>
            <w:tcW w:w="5125" w:type="dxa"/>
            <w:tcBorders>
              <w:top w:val="single" w:sz="4" w:space="0" w:color="C4D79B"/>
              <w:left w:val="single" w:sz="4" w:space="0" w:color="C4D79B"/>
              <w:bottom w:val="single" w:sz="4" w:space="0" w:color="C4D79B"/>
              <w:right w:val="nil"/>
            </w:tcBorders>
            <w:shd w:val="clear" w:color="auto" w:fill="auto"/>
            <w:noWrap/>
            <w:vAlign w:val="bottom"/>
            <w:hideMark/>
          </w:tcPr>
          <w:p w14:paraId="52793DAB" w14:textId="219D940E"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CNSI</w:t>
            </w:r>
          </w:p>
        </w:tc>
        <w:tc>
          <w:tcPr>
            <w:tcW w:w="4325" w:type="dxa"/>
            <w:tcBorders>
              <w:top w:val="single" w:sz="4" w:space="0" w:color="C4D79B"/>
              <w:left w:val="nil"/>
              <w:bottom w:val="single" w:sz="4" w:space="0" w:color="C4D79B"/>
              <w:right w:val="single" w:sz="4" w:space="0" w:color="C4D79B"/>
            </w:tcBorders>
            <w:shd w:val="clear" w:color="auto" w:fill="auto"/>
            <w:noWrap/>
            <w:vAlign w:val="bottom"/>
            <w:hideMark/>
          </w:tcPr>
          <w:p w14:paraId="103FAA9B" w14:textId="4D25E3AD"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 xml:space="preserve"> $                                              43,037,671 </w:t>
            </w:r>
          </w:p>
        </w:tc>
      </w:tr>
      <w:tr w:rsidR="006828C4" w:rsidRPr="00C21F3A" w14:paraId="0CB2030C" w14:textId="77777777" w:rsidTr="00C21F3A">
        <w:trPr>
          <w:trHeight w:val="285"/>
        </w:trPr>
        <w:tc>
          <w:tcPr>
            <w:tcW w:w="5125" w:type="dxa"/>
            <w:tcBorders>
              <w:top w:val="single" w:sz="4" w:space="0" w:color="C4D79B"/>
              <w:left w:val="single" w:sz="4" w:space="0" w:color="C4D79B"/>
              <w:bottom w:val="single" w:sz="4" w:space="0" w:color="C4D79B"/>
              <w:right w:val="nil"/>
            </w:tcBorders>
            <w:shd w:val="clear" w:color="EBF1DE" w:fill="EBF1DE"/>
            <w:noWrap/>
            <w:vAlign w:val="bottom"/>
            <w:hideMark/>
          </w:tcPr>
          <w:p w14:paraId="66B34EDE" w14:textId="231F6D4A"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IBM</w:t>
            </w:r>
          </w:p>
        </w:tc>
        <w:tc>
          <w:tcPr>
            <w:tcW w:w="4325" w:type="dxa"/>
            <w:tcBorders>
              <w:top w:val="single" w:sz="4" w:space="0" w:color="C4D79B"/>
              <w:left w:val="nil"/>
              <w:bottom w:val="single" w:sz="4" w:space="0" w:color="C4D79B"/>
              <w:right w:val="single" w:sz="4" w:space="0" w:color="C4D79B"/>
            </w:tcBorders>
            <w:shd w:val="clear" w:color="EBF1DE" w:fill="EBF1DE"/>
            <w:noWrap/>
            <w:vAlign w:val="bottom"/>
            <w:hideMark/>
          </w:tcPr>
          <w:p w14:paraId="07E58F2A" w14:textId="1A3034ED"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 xml:space="preserve"> $                                              41,722,947 </w:t>
            </w:r>
          </w:p>
        </w:tc>
      </w:tr>
      <w:tr w:rsidR="006828C4" w:rsidRPr="00C21F3A" w14:paraId="2252331D" w14:textId="77777777" w:rsidTr="00C21F3A">
        <w:trPr>
          <w:trHeight w:val="285"/>
        </w:trPr>
        <w:tc>
          <w:tcPr>
            <w:tcW w:w="5125" w:type="dxa"/>
            <w:tcBorders>
              <w:top w:val="single" w:sz="4" w:space="0" w:color="C4D79B"/>
              <w:left w:val="single" w:sz="4" w:space="0" w:color="C4D79B"/>
              <w:bottom w:val="single" w:sz="4" w:space="0" w:color="C4D79B"/>
              <w:right w:val="nil"/>
            </w:tcBorders>
            <w:shd w:val="clear" w:color="auto" w:fill="auto"/>
            <w:noWrap/>
            <w:vAlign w:val="bottom"/>
            <w:hideMark/>
          </w:tcPr>
          <w:p w14:paraId="242B8D19" w14:textId="17133C4F"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 xml:space="preserve">Deloitte Consulting </w:t>
            </w:r>
            <w:proofErr w:type="spellStart"/>
            <w:r>
              <w:rPr>
                <w:rFonts w:cs="Arial"/>
                <w:color w:val="000000"/>
                <w:szCs w:val="22"/>
              </w:rPr>
              <w:t>Llp</w:t>
            </w:r>
            <w:proofErr w:type="spellEnd"/>
          </w:p>
        </w:tc>
        <w:tc>
          <w:tcPr>
            <w:tcW w:w="4325" w:type="dxa"/>
            <w:tcBorders>
              <w:top w:val="single" w:sz="4" w:space="0" w:color="C4D79B"/>
              <w:left w:val="nil"/>
              <w:bottom w:val="single" w:sz="4" w:space="0" w:color="C4D79B"/>
              <w:right w:val="single" w:sz="4" w:space="0" w:color="C4D79B"/>
            </w:tcBorders>
            <w:shd w:val="clear" w:color="auto" w:fill="auto"/>
            <w:noWrap/>
            <w:vAlign w:val="bottom"/>
            <w:hideMark/>
          </w:tcPr>
          <w:p w14:paraId="35D0B23A" w14:textId="2E191FED"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 xml:space="preserve"> $                                              36,047,160 </w:t>
            </w:r>
          </w:p>
        </w:tc>
      </w:tr>
      <w:tr w:rsidR="006828C4" w:rsidRPr="00C21F3A" w14:paraId="7401C748" w14:textId="77777777" w:rsidTr="00C21F3A">
        <w:trPr>
          <w:trHeight w:val="285"/>
        </w:trPr>
        <w:tc>
          <w:tcPr>
            <w:tcW w:w="5125" w:type="dxa"/>
            <w:tcBorders>
              <w:top w:val="single" w:sz="4" w:space="0" w:color="C4D79B"/>
              <w:left w:val="single" w:sz="4" w:space="0" w:color="C4D79B"/>
              <w:bottom w:val="single" w:sz="4" w:space="0" w:color="C4D79B"/>
              <w:right w:val="nil"/>
            </w:tcBorders>
            <w:shd w:val="clear" w:color="EBF1DE" w:fill="EBF1DE"/>
            <w:noWrap/>
            <w:vAlign w:val="bottom"/>
            <w:hideMark/>
          </w:tcPr>
          <w:p w14:paraId="467FA36C" w14:textId="04083896"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CDW Government, Inc.</w:t>
            </w:r>
          </w:p>
        </w:tc>
        <w:tc>
          <w:tcPr>
            <w:tcW w:w="4325" w:type="dxa"/>
            <w:tcBorders>
              <w:top w:val="single" w:sz="4" w:space="0" w:color="C4D79B"/>
              <w:left w:val="nil"/>
              <w:bottom w:val="single" w:sz="4" w:space="0" w:color="C4D79B"/>
              <w:right w:val="single" w:sz="4" w:space="0" w:color="C4D79B"/>
            </w:tcBorders>
            <w:shd w:val="clear" w:color="EBF1DE" w:fill="EBF1DE"/>
            <w:noWrap/>
            <w:vAlign w:val="bottom"/>
            <w:hideMark/>
          </w:tcPr>
          <w:p w14:paraId="29AD2F71" w14:textId="314E4578"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 xml:space="preserve"> $                                              30,262,298 </w:t>
            </w:r>
          </w:p>
        </w:tc>
      </w:tr>
      <w:tr w:rsidR="006828C4" w:rsidRPr="00C21F3A" w14:paraId="6FF55F2A" w14:textId="77777777" w:rsidTr="00C21F3A">
        <w:trPr>
          <w:trHeight w:val="285"/>
        </w:trPr>
        <w:tc>
          <w:tcPr>
            <w:tcW w:w="5125" w:type="dxa"/>
            <w:tcBorders>
              <w:top w:val="single" w:sz="4" w:space="0" w:color="C4D79B"/>
              <w:left w:val="single" w:sz="4" w:space="0" w:color="C4D79B"/>
              <w:bottom w:val="single" w:sz="4" w:space="0" w:color="C4D79B"/>
              <w:right w:val="nil"/>
            </w:tcBorders>
            <w:shd w:val="clear" w:color="auto" w:fill="auto"/>
            <w:noWrap/>
            <w:vAlign w:val="bottom"/>
            <w:hideMark/>
          </w:tcPr>
          <w:p w14:paraId="03470F12" w14:textId="007CC2B8"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Dell</w:t>
            </w:r>
          </w:p>
        </w:tc>
        <w:tc>
          <w:tcPr>
            <w:tcW w:w="4325" w:type="dxa"/>
            <w:tcBorders>
              <w:top w:val="single" w:sz="4" w:space="0" w:color="C4D79B"/>
              <w:left w:val="nil"/>
              <w:bottom w:val="single" w:sz="4" w:space="0" w:color="C4D79B"/>
              <w:right w:val="single" w:sz="4" w:space="0" w:color="C4D79B"/>
            </w:tcBorders>
            <w:shd w:val="clear" w:color="auto" w:fill="auto"/>
            <w:noWrap/>
            <w:vAlign w:val="bottom"/>
            <w:hideMark/>
          </w:tcPr>
          <w:p w14:paraId="5819C708" w14:textId="2F413079"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 xml:space="preserve"> $                                              28,408,030 </w:t>
            </w:r>
          </w:p>
        </w:tc>
      </w:tr>
      <w:tr w:rsidR="006828C4" w:rsidRPr="00C21F3A" w14:paraId="7DE62AD6" w14:textId="77777777" w:rsidTr="00C21F3A">
        <w:trPr>
          <w:trHeight w:val="285"/>
        </w:trPr>
        <w:tc>
          <w:tcPr>
            <w:tcW w:w="5125" w:type="dxa"/>
            <w:tcBorders>
              <w:top w:val="single" w:sz="4" w:space="0" w:color="C4D79B"/>
              <w:left w:val="single" w:sz="4" w:space="0" w:color="C4D79B"/>
              <w:bottom w:val="single" w:sz="4" w:space="0" w:color="C4D79B"/>
              <w:right w:val="nil"/>
            </w:tcBorders>
            <w:shd w:val="clear" w:color="EBF1DE" w:fill="EBF1DE"/>
            <w:noWrap/>
            <w:vAlign w:val="bottom"/>
            <w:hideMark/>
          </w:tcPr>
          <w:p w14:paraId="3350B642" w14:textId="14737AA7"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Washington State Child Care Resources</w:t>
            </w:r>
          </w:p>
        </w:tc>
        <w:tc>
          <w:tcPr>
            <w:tcW w:w="4325" w:type="dxa"/>
            <w:tcBorders>
              <w:top w:val="single" w:sz="4" w:space="0" w:color="C4D79B"/>
              <w:left w:val="nil"/>
              <w:bottom w:val="single" w:sz="4" w:space="0" w:color="C4D79B"/>
              <w:right w:val="single" w:sz="4" w:space="0" w:color="C4D79B"/>
            </w:tcBorders>
            <w:shd w:val="clear" w:color="EBF1DE" w:fill="EBF1DE"/>
            <w:noWrap/>
            <w:vAlign w:val="bottom"/>
            <w:hideMark/>
          </w:tcPr>
          <w:p w14:paraId="3A6CE050" w14:textId="696A1EBB"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 xml:space="preserve"> $                                              27,982,102 </w:t>
            </w:r>
          </w:p>
        </w:tc>
      </w:tr>
      <w:tr w:rsidR="006828C4" w:rsidRPr="00C21F3A" w14:paraId="27FA3557" w14:textId="77777777" w:rsidTr="00C21F3A">
        <w:trPr>
          <w:trHeight w:val="285"/>
        </w:trPr>
        <w:tc>
          <w:tcPr>
            <w:tcW w:w="5125" w:type="dxa"/>
            <w:tcBorders>
              <w:top w:val="single" w:sz="4" w:space="0" w:color="C4D79B"/>
              <w:left w:val="single" w:sz="4" w:space="0" w:color="C4D79B"/>
              <w:bottom w:val="single" w:sz="4" w:space="0" w:color="C4D79B"/>
              <w:right w:val="nil"/>
            </w:tcBorders>
            <w:shd w:val="clear" w:color="auto" w:fill="auto"/>
            <w:noWrap/>
            <w:vAlign w:val="bottom"/>
            <w:hideMark/>
          </w:tcPr>
          <w:p w14:paraId="0206426A" w14:textId="090249B1"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FYI Properties</w:t>
            </w:r>
          </w:p>
        </w:tc>
        <w:tc>
          <w:tcPr>
            <w:tcW w:w="4325" w:type="dxa"/>
            <w:tcBorders>
              <w:top w:val="single" w:sz="4" w:space="0" w:color="C4D79B"/>
              <w:left w:val="nil"/>
              <w:bottom w:val="single" w:sz="4" w:space="0" w:color="C4D79B"/>
              <w:right w:val="single" w:sz="4" w:space="0" w:color="C4D79B"/>
            </w:tcBorders>
            <w:shd w:val="clear" w:color="auto" w:fill="auto"/>
            <w:noWrap/>
            <w:vAlign w:val="bottom"/>
            <w:hideMark/>
          </w:tcPr>
          <w:p w14:paraId="452E9AEC" w14:textId="0406B02D"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 xml:space="preserve"> $                                              21,924,037 </w:t>
            </w:r>
          </w:p>
        </w:tc>
      </w:tr>
    </w:tbl>
    <w:p w14:paraId="3DCDEF64" w14:textId="77777777" w:rsidR="00FA2D3C" w:rsidRPr="008569EB" w:rsidRDefault="00FA2D3C" w:rsidP="00A712F8">
      <w:pPr>
        <w:rPr>
          <w:rFonts w:cs="Arial"/>
        </w:rPr>
      </w:pPr>
    </w:p>
    <w:p w14:paraId="2065A4D3" w14:textId="24D5F36E" w:rsidR="00FA2D3C" w:rsidRDefault="00F82665" w:rsidP="00FA2D3C">
      <w:pPr>
        <w:widowControl/>
        <w:autoSpaceDE/>
        <w:autoSpaceDN/>
        <w:adjustRightInd/>
        <w:rPr>
          <w:rFonts w:cs="Arial"/>
          <w:b/>
          <w:szCs w:val="22"/>
        </w:rPr>
      </w:pPr>
      <w:r>
        <w:rPr>
          <w:rFonts w:cs="Arial"/>
          <w:b/>
          <w:szCs w:val="22"/>
        </w:rPr>
        <w:t>Top 10 IT Vendors by FY</w:t>
      </w:r>
      <w:r w:rsidR="00FA2D3C" w:rsidRPr="000F697B">
        <w:rPr>
          <w:rFonts w:cs="Arial"/>
          <w:b/>
          <w:szCs w:val="22"/>
        </w:rPr>
        <w:t>2</w:t>
      </w:r>
      <w:r w:rsidR="00D96C88">
        <w:rPr>
          <w:rFonts w:cs="Arial"/>
          <w:b/>
          <w:szCs w:val="22"/>
        </w:rPr>
        <w:t>1</w:t>
      </w:r>
      <w:r w:rsidR="00FA2D3C" w:rsidRPr="000F697B">
        <w:rPr>
          <w:rFonts w:cs="Arial"/>
          <w:b/>
          <w:szCs w:val="22"/>
        </w:rPr>
        <w:t xml:space="preserve"> Spend for Master Contracts Only</w:t>
      </w:r>
    </w:p>
    <w:p w14:paraId="3EE8764A" w14:textId="77777777" w:rsidR="00CE4DF6" w:rsidRPr="000F697B" w:rsidRDefault="00CE4DF6" w:rsidP="00FA2D3C">
      <w:pPr>
        <w:widowControl/>
        <w:autoSpaceDE/>
        <w:autoSpaceDN/>
        <w:adjustRightInd/>
        <w:rPr>
          <w:rFonts w:cs="Arial"/>
          <w:b/>
          <w:szCs w:val="22"/>
        </w:rPr>
      </w:pPr>
    </w:p>
    <w:tbl>
      <w:tblPr>
        <w:tblW w:w="9445" w:type="dxa"/>
        <w:tblLook w:val="04A0" w:firstRow="1" w:lastRow="0" w:firstColumn="1" w:lastColumn="0" w:noHBand="0" w:noVBand="1"/>
      </w:tblPr>
      <w:tblGrid>
        <w:gridCol w:w="5045"/>
        <w:gridCol w:w="4400"/>
      </w:tblGrid>
      <w:tr w:rsidR="00C21F3A" w:rsidRPr="00C21F3A" w14:paraId="0D6872F5" w14:textId="77777777" w:rsidTr="003E58F8">
        <w:trPr>
          <w:trHeight w:val="285"/>
        </w:trPr>
        <w:tc>
          <w:tcPr>
            <w:tcW w:w="0" w:type="auto"/>
            <w:tcBorders>
              <w:top w:val="single" w:sz="4" w:space="0" w:color="C4D79B"/>
              <w:left w:val="single" w:sz="4" w:space="0" w:color="C4D79B"/>
              <w:bottom w:val="single" w:sz="4" w:space="0" w:color="C4D79B"/>
              <w:right w:val="nil"/>
            </w:tcBorders>
            <w:shd w:val="clear" w:color="9BBB59" w:fill="9BBB59"/>
            <w:noWrap/>
            <w:vAlign w:val="bottom"/>
            <w:hideMark/>
          </w:tcPr>
          <w:p w14:paraId="3541BE5E" w14:textId="77777777" w:rsidR="00C21F3A" w:rsidRPr="00C21F3A" w:rsidRDefault="00C21F3A" w:rsidP="00C21F3A">
            <w:pPr>
              <w:widowControl/>
              <w:autoSpaceDE/>
              <w:autoSpaceDN/>
              <w:adjustRightInd/>
              <w:rPr>
                <w:rFonts w:eastAsia="Times New Roman" w:cs="Arial"/>
                <w:b/>
                <w:bCs/>
                <w:color w:val="FFFFFF"/>
                <w:szCs w:val="22"/>
              </w:rPr>
            </w:pPr>
            <w:r w:rsidRPr="00C21F3A">
              <w:rPr>
                <w:rFonts w:eastAsia="Times New Roman" w:cs="Arial"/>
                <w:b/>
                <w:bCs/>
                <w:color w:val="FFFFFF"/>
                <w:szCs w:val="22"/>
              </w:rPr>
              <w:t>Vendor</w:t>
            </w:r>
          </w:p>
        </w:tc>
        <w:tc>
          <w:tcPr>
            <w:tcW w:w="4400" w:type="dxa"/>
            <w:tcBorders>
              <w:top w:val="single" w:sz="4" w:space="0" w:color="C4D79B"/>
              <w:left w:val="nil"/>
              <w:bottom w:val="single" w:sz="4" w:space="0" w:color="C4D79B"/>
              <w:right w:val="single" w:sz="4" w:space="0" w:color="C4D79B"/>
            </w:tcBorders>
            <w:shd w:val="clear" w:color="9BBB59" w:fill="9BBB59"/>
            <w:noWrap/>
            <w:vAlign w:val="bottom"/>
            <w:hideMark/>
          </w:tcPr>
          <w:p w14:paraId="3630E907" w14:textId="77777777" w:rsidR="00C21F3A" w:rsidRPr="00C21F3A" w:rsidRDefault="00C21F3A" w:rsidP="00C21F3A">
            <w:pPr>
              <w:widowControl/>
              <w:autoSpaceDE/>
              <w:autoSpaceDN/>
              <w:adjustRightInd/>
              <w:jc w:val="right"/>
              <w:rPr>
                <w:rFonts w:eastAsia="Times New Roman" w:cs="Arial"/>
                <w:b/>
                <w:bCs/>
                <w:color w:val="FFFFFF"/>
                <w:szCs w:val="22"/>
              </w:rPr>
            </w:pPr>
            <w:r w:rsidRPr="00C21F3A">
              <w:rPr>
                <w:rFonts w:eastAsia="Times New Roman" w:cs="Arial"/>
                <w:b/>
                <w:bCs/>
                <w:color w:val="FFFFFF"/>
                <w:szCs w:val="22"/>
              </w:rPr>
              <w:t>FY 21 IT Contract Report Spend</w:t>
            </w:r>
          </w:p>
        </w:tc>
      </w:tr>
      <w:tr w:rsidR="006828C4" w:rsidRPr="00C21F3A" w14:paraId="0CB4627E" w14:textId="77777777" w:rsidTr="003E58F8">
        <w:trPr>
          <w:trHeight w:val="285"/>
        </w:trPr>
        <w:tc>
          <w:tcPr>
            <w:tcW w:w="0" w:type="auto"/>
            <w:tcBorders>
              <w:top w:val="single" w:sz="4" w:space="0" w:color="C4D79B"/>
              <w:left w:val="single" w:sz="4" w:space="0" w:color="C4D79B"/>
              <w:bottom w:val="single" w:sz="4" w:space="0" w:color="C4D79B"/>
              <w:right w:val="nil"/>
            </w:tcBorders>
            <w:shd w:val="clear" w:color="EBF1DE" w:fill="EBF1DE"/>
            <w:noWrap/>
            <w:vAlign w:val="bottom"/>
            <w:hideMark/>
          </w:tcPr>
          <w:p w14:paraId="7B0EEA6E" w14:textId="3834A6C9"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Insight Public Sector</w:t>
            </w:r>
          </w:p>
        </w:tc>
        <w:tc>
          <w:tcPr>
            <w:tcW w:w="4400" w:type="dxa"/>
            <w:tcBorders>
              <w:top w:val="single" w:sz="4" w:space="0" w:color="C4D79B"/>
              <w:left w:val="nil"/>
              <w:bottom w:val="single" w:sz="4" w:space="0" w:color="C4D79B"/>
              <w:right w:val="single" w:sz="4" w:space="0" w:color="C4D79B"/>
            </w:tcBorders>
            <w:shd w:val="clear" w:color="EBF1DE" w:fill="EBF1DE"/>
            <w:noWrap/>
            <w:vAlign w:val="bottom"/>
            <w:hideMark/>
          </w:tcPr>
          <w:p w14:paraId="06447E78" w14:textId="340B3CC5" w:rsidR="006828C4" w:rsidRPr="00C21F3A" w:rsidRDefault="006828C4" w:rsidP="006828C4">
            <w:pPr>
              <w:widowControl/>
              <w:autoSpaceDE/>
              <w:autoSpaceDN/>
              <w:adjustRightInd/>
              <w:jc w:val="right"/>
              <w:rPr>
                <w:rFonts w:eastAsia="Times New Roman" w:cs="Arial"/>
                <w:color w:val="000000"/>
                <w:szCs w:val="22"/>
              </w:rPr>
            </w:pPr>
            <w:r>
              <w:rPr>
                <w:rFonts w:cs="Arial"/>
                <w:color w:val="000000"/>
                <w:szCs w:val="22"/>
              </w:rPr>
              <w:t xml:space="preserve"> $                                            148,702,157 </w:t>
            </w:r>
          </w:p>
        </w:tc>
      </w:tr>
      <w:tr w:rsidR="006828C4" w:rsidRPr="00C21F3A" w14:paraId="3511E2BE" w14:textId="77777777" w:rsidTr="003E58F8">
        <w:trPr>
          <w:trHeight w:val="285"/>
        </w:trPr>
        <w:tc>
          <w:tcPr>
            <w:tcW w:w="0" w:type="auto"/>
            <w:tcBorders>
              <w:top w:val="single" w:sz="4" w:space="0" w:color="C4D79B"/>
              <w:left w:val="single" w:sz="4" w:space="0" w:color="C4D79B"/>
              <w:bottom w:val="single" w:sz="4" w:space="0" w:color="C4D79B"/>
              <w:right w:val="nil"/>
            </w:tcBorders>
            <w:shd w:val="clear" w:color="auto" w:fill="auto"/>
            <w:noWrap/>
            <w:vAlign w:val="bottom"/>
            <w:hideMark/>
          </w:tcPr>
          <w:p w14:paraId="7F332548" w14:textId="2B9CF5CA"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SHI</w:t>
            </w:r>
          </w:p>
        </w:tc>
        <w:tc>
          <w:tcPr>
            <w:tcW w:w="4400" w:type="dxa"/>
            <w:tcBorders>
              <w:top w:val="single" w:sz="4" w:space="0" w:color="C4D79B"/>
              <w:left w:val="nil"/>
              <w:bottom w:val="single" w:sz="4" w:space="0" w:color="C4D79B"/>
              <w:right w:val="single" w:sz="4" w:space="0" w:color="C4D79B"/>
            </w:tcBorders>
            <w:shd w:val="clear" w:color="auto" w:fill="auto"/>
            <w:noWrap/>
            <w:vAlign w:val="bottom"/>
            <w:hideMark/>
          </w:tcPr>
          <w:p w14:paraId="682A2D1F" w14:textId="4677AA6B" w:rsidR="006828C4" w:rsidRPr="00C21F3A" w:rsidRDefault="006828C4" w:rsidP="006828C4">
            <w:pPr>
              <w:widowControl/>
              <w:autoSpaceDE/>
              <w:autoSpaceDN/>
              <w:adjustRightInd/>
              <w:jc w:val="right"/>
              <w:rPr>
                <w:rFonts w:eastAsia="Times New Roman" w:cs="Arial"/>
                <w:color w:val="000000"/>
                <w:szCs w:val="22"/>
              </w:rPr>
            </w:pPr>
            <w:r>
              <w:rPr>
                <w:rFonts w:cs="Arial"/>
                <w:color w:val="000000"/>
                <w:szCs w:val="22"/>
              </w:rPr>
              <w:t xml:space="preserve"> $                                              39,593,210 </w:t>
            </w:r>
          </w:p>
        </w:tc>
      </w:tr>
      <w:tr w:rsidR="006828C4" w:rsidRPr="00C21F3A" w14:paraId="7A1D40E6" w14:textId="77777777" w:rsidTr="003E58F8">
        <w:trPr>
          <w:trHeight w:val="285"/>
        </w:trPr>
        <w:tc>
          <w:tcPr>
            <w:tcW w:w="0" w:type="auto"/>
            <w:tcBorders>
              <w:top w:val="single" w:sz="4" w:space="0" w:color="C4D79B"/>
              <w:left w:val="single" w:sz="4" w:space="0" w:color="C4D79B"/>
              <w:bottom w:val="single" w:sz="4" w:space="0" w:color="C4D79B"/>
              <w:right w:val="nil"/>
            </w:tcBorders>
            <w:shd w:val="clear" w:color="EBF1DE" w:fill="EBF1DE"/>
            <w:noWrap/>
            <w:vAlign w:val="bottom"/>
            <w:hideMark/>
          </w:tcPr>
          <w:p w14:paraId="0A345CC2" w14:textId="41FBDC87"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Dell</w:t>
            </w:r>
          </w:p>
        </w:tc>
        <w:tc>
          <w:tcPr>
            <w:tcW w:w="4400" w:type="dxa"/>
            <w:tcBorders>
              <w:top w:val="single" w:sz="4" w:space="0" w:color="C4D79B"/>
              <w:left w:val="nil"/>
              <w:bottom w:val="single" w:sz="4" w:space="0" w:color="C4D79B"/>
              <w:right w:val="single" w:sz="4" w:space="0" w:color="C4D79B"/>
            </w:tcBorders>
            <w:shd w:val="clear" w:color="EBF1DE" w:fill="EBF1DE"/>
            <w:noWrap/>
            <w:vAlign w:val="bottom"/>
            <w:hideMark/>
          </w:tcPr>
          <w:p w14:paraId="15D727C4" w14:textId="45229B15" w:rsidR="006828C4" w:rsidRPr="00C21F3A" w:rsidRDefault="006828C4" w:rsidP="006828C4">
            <w:pPr>
              <w:widowControl/>
              <w:autoSpaceDE/>
              <w:autoSpaceDN/>
              <w:adjustRightInd/>
              <w:jc w:val="right"/>
              <w:rPr>
                <w:rFonts w:eastAsia="Times New Roman" w:cs="Arial"/>
                <w:color w:val="000000"/>
                <w:szCs w:val="22"/>
              </w:rPr>
            </w:pPr>
            <w:r>
              <w:rPr>
                <w:rFonts w:cs="Arial"/>
                <w:color w:val="000000"/>
                <w:szCs w:val="22"/>
              </w:rPr>
              <w:t xml:space="preserve"> $                                              21,555,901 </w:t>
            </w:r>
          </w:p>
        </w:tc>
      </w:tr>
      <w:tr w:rsidR="006828C4" w:rsidRPr="00C21F3A" w14:paraId="1D2DB897" w14:textId="77777777" w:rsidTr="003E58F8">
        <w:trPr>
          <w:trHeight w:val="285"/>
        </w:trPr>
        <w:tc>
          <w:tcPr>
            <w:tcW w:w="0" w:type="auto"/>
            <w:tcBorders>
              <w:top w:val="single" w:sz="4" w:space="0" w:color="C4D79B"/>
              <w:left w:val="single" w:sz="4" w:space="0" w:color="C4D79B"/>
              <w:bottom w:val="single" w:sz="4" w:space="0" w:color="C4D79B"/>
              <w:right w:val="nil"/>
            </w:tcBorders>
            <w:shd w:val="clear" w:color="auto" w:fill="auto"/>
            <w:noWrap/>
            <w:vAlign w:val="bottom"/>
            <w:hideMark/>
          </w:tcPr>
          <w:p w14:paraId="4F4FA852" w14:textId="4843B033"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Verizon Wireless Services LLC.</w:t>
            </w:r>
          </w:p>
        </w:tc>
        <w:tc>
          <w:tcPr>
            <w:tcW w:w="4400" w:type="dxa"/>
            <w:tcBorders>
              <w:top w:val="single" w:sz="4" w:space="0" w:color="C4D79B"/>
              <w:left w:val="nil"/>
              <w:bottom w:val="single" w:sz="4" w:space="0" w:color="C4D79B"/>
              <w:right w:val="single" w:sz="4" w:space="0" w:color="C4D79B"/>
            </w:tcBorders>
            <w:shd w:val="clear" w:color="auto" w:fill="auto"/>
            <w:noWrap/>
            <w:vAlign w:val="bottom"/>
            <w:hideMark/>
          </w:tcPr>
          <w:p w14:paraId="3DF939DD" w14:textId="00C92FAC" w:rsidR="006828C4" w:rsidRPr="00C21F3A" w:rsidRDefault="006828C4" w:rsidP="006828C4">
            <w:pPr>
              <w:widowControl/>
              <w:autoSpaceDE/>
              <w:autoSpaceDN/>
              <w:adjustRightInd/>
              <w:jc w:val="right"/>
              <w:rPr>
                <w:rFonts w:eastAsia="Times New Roman" w:cs="Arial"/>
                <w:color w:val="000000"/>
                <w:szCs w:val="22"/>
              </w:rPr>
            </w:pPr>
            <w:r>
              <w:rPr>
                <w:rFonts w:cs="Arial"/>
                <w:color w:val="000000"/>
                <w:szCs w:val="22"/>
              </w:rPr>
              <w:t xml:space="preserve"> $                                              13,859,963 </w:t>
            </w:r>
          </w:p>
        </w:tc>
      </w:tr>
      <w:tr w:rsidR="006828C4" w:rsidRPr="00C21F3A" w14:paraId="414E8C66" w14:textId="77777777" w:rsidTr="003E58F8">
        <w:trPr>
          <w:trHeight w:val="285"/>
        </w:trPr>
        <w:tc>
          <w:tcPr>
            <w:tcW w:w="0" w:type="auto"/>
            <w:tcBorders>
              <w:top w:val="single" w:sz="4" w:space="0" w:color="C4D79B"/>
              <w:left w:val="single" w:sz="4" w:space="0" w:color="C4D79B"/>
              <w:bottom w:val="single" w:sz="4" w:space="0" w:color="C4D79B"/>
              <w:right w:val="nil"/>
            </w:tcBorders>
            <w:shd w:val="clear" w:color="EBF1DE" w:fill="EBF1DE"/>
            <w:noWrap/>
            <w:vAlign w:val="bottom"/>
            <w:hideMark/>
          </w:tcPr>
          <w:p w14:paraId="7E0F4282" w14:textId="63B69774"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Carahsoft Technology Corporation</w:t>
            </w:r>
          </w:p>
        </w:tc>
        <w:tc>
          <w:tcPr>
            <w:tcW w:w="4400" w:type="dxa"/>
            <w:tcBorders>
              <w:top w:val="single" w:sz="4" w:space="0" w:color="C4D79B"/>
              <w:left w:val="nil"/>
              <w:bottom w:val="single" w:sz="4" w:space="0" w:color="C4D79B"/>
              <w:right w:val="single" w:sz="4" w:space="0" w:color="C4D79B"/>
            </w:tcBorders>
            <w:shd w:val="clear" w:color="EBF1DE" w:fill="EBF1DE"/>
            <w:noWrap/>
            <w:vAlign w:val="bottom"/>
            <w:hideMark/>
          </w:tcPr>
          <w:p w14:paraId="2A776446" w14:textId="3639E527" w:rsidR="006828C4" w:rsidRPr="00C21F3A" w:rsidRDefault="006828C4" w:rsidP="006828C4">
            <w:pPr>
              <w:widowControl/>
              <w:autoSpaceDE/>
              <w:autoSpaceDN/>
              <w:adjustRightInd/>
              <w:jc w:val="right"/>
              <w:rPr>
                <w:rFonts w:eastAsia="Times New Roman" w:cs="Arial"/>
                <w:color w:val="000000"/>
                <w:szCs w:val="22"/>
              </w:rPr>
            </w:pPr>
            <w:r>
              <w:rPr>
                <w:rFonts w:cs="Arial"/>
                <w:color w:val="000000"/>
                <w:szCs w:val="22"/>
              </w:rPr>
              <w:t xml:space="preserve"> $                                                9,723,892 </w:t>
            </w:r>
          </w:p>
        </w:tc>
      </w:tr>
      <w:tr w:rsidR="006828C4" w:rsidRPr="00C21F3A" w14:paraId="2992687C" w14:textId="77777777" w:rsidTr="003E58F8">
        <w:trPr>
          <w:trHeight w:val="285"/>
        </w:trPr>
        <w:tc>
          <w:tcPr>
            <w:tcW w:w="0" w:type="auto"/>
            <w:tcBorders>
              <w:top w:val="single" w:sz="4" w:space="0" w:color="C4D79B"/>
              <w:left w:val="single" w:sz="4" w:space="0" w:color="C4D79B"/>
              <w:bottom w:val="single" w:sz="4" w:space="0" w:color="C4D79B"/>
              <w:right w:val="nil"/>
            </w:tcBorders>
            <w:shd w:val="clear" w:color="auto" w:fill="auto"/>
            <w:noWrap/>
            <w:vAlign w:val="bottom"/>
            <w:hideMark/>
          </w:tcPr>
          <w:p w14:paraId="7D6CFD04" w14:textId="63DAD49F"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CDW Government, Inc.</w:t>
            </w:r>
          </w:p>
        </w:tc>
        <w:tc>
          <w:tcPr>
            <w:tcW w:w="4400" w:type="dxa"/>
            <w:tcBorders>
              <w:top w:val="single" w:sz="4" w:space="0" w:color="C4D79B"/>
              <w:left w:val="nil"/>
              <w:bottom w:val="single" w:sz="4" w:space="0" w:color="C4D79B"/>
              <w:right w:val="single" w:sz="4" w:space="0" w:color="C4D79B"/>
            </w:tcBorders>
            <w:shd w:val="clear" w:color="auto" w:fill="auto"/>
            <w:noWrap/>
            <w:vAlign w:val="bottom"/>
            <w:hideMark/>
          </w:tcPr>
          <w:p w14:paraId="59338C18" w14:textId="0C731BDC" w:rsidR="006828C4" w:rsidRPr="00C21F3A" w:rsidRDefault="006828C4" w:rsidP="006828C4">
            <w:pPr>
              <w:widowControl/>
              <w:autoSpaceDE/>
              <w:autoSpaceDN/>
              <w:adjustRightInd/>
              <w:jc w:val="right"/>
              <w:rPr>
                <w:rFonts w:eastAsia="Times New Roman" w:cs="Arial"/>
                <w:color w:val="000000"/>
                <w:szCs w:val="22"/>
              </w:rPr>
            </w:pPr>
            <w:r>
              <w:rPr>
                <w:rFonts w:cs="Arial"/>
                <w:color w:val="000000"/>
                <w:szCs w:val="22"/>
              </w:rPr>
              <w:t xml:space="preserve"> $                                                8,147,864 </w:t>
            </w:r>
          </w:p>
        </w:tc>
      </w:tr>
      <w:tr w:rsidR="006828C4" w:rsidRPr="00C21F3A" w14:paraId="5C69E2A0" w14:textId="77777777" w:rsidTr="003E58F8">
        <w:trPr>
          <w:trHeight w:val="285"/>
        </w:trPr>
        <w:tc>
          <w:tcPr>
            <w:tcW w:w="0" w:type="auto"/>
            <w:tcBorders>
              <w:top w:val="single" w:sz="4" w:space="0" w:color="C4D79B"/>
              <w:left w:val="single" w:sz="4" w:space="0" w:color="C4D79B"/>
              <w:bottom w:val="single" w:sz="4" w:space="0" w:color="C4D79B"/>
              <w:right w:val="nil"/>
            </w:tcBorders>
            <w:shd w:val="clear" w:color="EBF1DE" w:fill="EBF1DE"/>
            <w:noWrap/>
            <w:vAlign w:val="bottom"/>
            <w:hideMark/>
          </w:tcPr>
          <w:p w14:paraId="70BF28DF" w14:textId="28DD274C"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Hewlett-Packard Enterprise Company</w:t>
            </w:r>
          </w:p>
        </w:tc>
        <w:tc>
          <w:tcPr>
            <w:tcW w:w="4400" w:type="dxa"/>
            <w:tcBorders>
              <w:top w:val="single" w:sz="4" w:space="0" w:color="C4D79B"/>
              <w:left w:val="nil"/>
              <w:bottom w:val="single" w:sz="4" w:space="0" w:color="C4D79B"/>
              <w:right w:val="single" w:sz="4" w:space="0" w:color="C4D79B"/>
            </w:tcBorders>
            <w:shd w:val="clear" w:color="EBF1DE" w:fill="EBF1DE"/>
            <w:noWrap/>
            <w:vAlign w:val="bottom"/>
            <w:hideMark/>
          </w:tcPr>
          <w:p w14:paraId="708FEC51" w14:textId="7D66781B" w:rsidR="006828C4" w:rsidRPr="00C21F3A" w:rsidRDefault="006828C4" w:rsidP="006828C4">
            <w:pPr>
              <w:widowControl/>
              <w:autoSpaceDE/>
              <w:autoSpaceDN/>
              <w:adjustRightInd/>
              <w:jc w:val="right"/>
              <w:rPr>
                <w:rFonts w:eastAsia="Times New Roman" w:cs="Arial"/>
                <w:color w:val="000000"/>
                <w:szCs w:val="22"/>
              </w:rPr>
            </w:pPr>
            <w:r>
              <w:rPr>
                <w:rFonts w:cs="Arial"/>
                <w:color w:val="000000"/>
                <w:szCs w:val="22"/>
              </w:rPr>
              <w:t xml:space="preserve"> $                                                6,739,686 </w:t>
            </w:r>
          </w:p>
        </w:tc>
      </w:tr>
      <w:tr w:rsidR="006828C4" w:rsidRPr="00C21F3A" w14:paraId="2ADA53BF" w14:textId="77777777" w:rsidTr="003E58F8">
        <w:trPr>
          <w:trHeight w:val="285"/>
        </w:trPr>
        <w:tc>
          <w:tcPr>
            <w:tcW w:w="0" w:type="auto"/>
            <w:tcBorders>
              <w:top w:val="single" w:sz="4" w:space="0" w:color="C4D79B"/>
              <w:left w:val="single" w:sz="4" w:space="0" w:color="C4D79B"/>
              <w:bottom w:val="single" w:sz="4" w:space="0" w:color="C4D79B"/>
              <w:right w:val="nil"/>
            </w:tcBorders>
            <w:shd w:val="clear" w:color="auto" w:fill="auto"/>
            <w:noWrap/>
            <w:vAlign w:val="bottom"/>
            <w:hideMark/>
          </w:tcPr>
          <w:p w14:paraId="6527F00F" w14:textId="1ACB2795"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Cisco Systems, Inc.</w:t>
            </w:r>
          </w:p>
        </w:tc>
        <w:tc>
          <w:tcPr>
            <w:tcW w:w="4400" w:type="dxa"/>
            <w:tcBorders>
              <w:top w:val="single" w:sz="4" w:space="0" w:color="C4D79B"/>
              <w:left w:val="nil"/>
              <w:bottom w:val="single" w:sz="4" w:space="0" w:color="C4D79B"/>
              <w:right w:val="single" w:sz="4" w:space="0" w:color="C4D79B"/>
            </w:tcBorders>
            <w:shd w:val="clear" w:color="auto" w:fill="auto"/>
            <w:noWrap/>
            <w:vAlign w:val="bottom"/>
            <w:hideMark/>
          </w:tcPr>
          <w:p w14:paraId="48316AC8" w14:textId="4A987A6F" w:rsidR="006828C4" w:rsidRPr="00C21F3A" w:rsidRDefault="006828C4" w:rsidP="006828C4">
            <w:pPr>
              <w:widowControl/>
              <w:autoSpaceDE/>
              <w:autoSpaceDN/>
              <w:adjustRightInd/>
              <w:jc w:val="right"/>
              <w:rPr>
                <w:rFonts w:eastAsia="Times New Roman" w:cs="Arial"/>
                <w:color w:val="000000"/>
                <w:szCs w:val="22"/>
              </w:rPr>
            </w:pPr>
            <w:r>
              <w:rPr>
                <w:rFonts w:cs="Arial"/>
                <w:color w:val="000000"/>
                <w:szCs w:val="22"/>
              </w:rPr>
              <w:t xml:space="preserve"> $                                                6,698,424 </w:t>
            </w:r>
          </w:p>
        </w:tc>
      </w:tr>
      <w:tr w:rsidR="006828C4" w:rsidRPr="00C21F3A" w14:paraId="3625F80E" w14:textId="77777777" w:rsidTr="003E58F8">
        <w:trPr>
          <w:trHeight w:val="285"/>
        </w:trPr>
        <w:tc>
          <w:tcPr>
            <w:tcW w:w="0" w:type="auto"/>
            <w:tcBorders>
              <w:top w:val="single" w:sz="4" w:space="0" w:color="C4D79B"/>
              <w:left w:val="single" w:sz="4" w:space="0" w:color="C4D79B"/>
              <w:bottom w:val="single" w:sz="4" w:space="0" w:color="C4D79B"/>
              <w:right w:val="nil"/>
            </w:tcBorders>
            <w:shd w:val="clear" w:color="EBF1DE" w:fill="EBF1DE"/>
            <w:noWrap/>
            <w:vAlign w:val="bottom"/>
            <w:hideMark/>
          </w:tcPr>
          <w:p w14:paraId="14CB9F1B" w14:textId="7F9BEBAF"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lastRenderedPageBreak/>
              <w:t>Right Systems</w:t>
            </w:r>
          </w:p>
        </w:tc>
        <w:tc>
          <w:tcPr>
            <w:tcW w:w="4400" w:type="dxa"/>
            <w:tcBorders>
              <w:top w:val="single" w:sz="4" w:space="0" w:color="C4D79B"/>
              <w:left w:val="nil"/>
              <w:bottom w:val="single" w:sz="4" w:space="0" w:color="C4D79B"/>
              <w:right w:val="single" w:sz="4" w:space="0" w:color="C4D79B"/>
            </w:tcBorders>
            <w:shd w:val="clear" w:color="EBF1DE" w:fill="EBF1DE"/>
            <w:noWrap/>
            <w:vAlign w:val="bottom"/>
            <w:hideMark/>
          </w:tcPr>
          <w:p w14:paraId="62A384AE" w14:textId="6DA29DD9" w:rsidR="006828C4" w:rsidRPr="00C21F3A" w:rsidRDefault="006828C4" w:rsidP="006828C4">
            <w:pPr>
              <w:widowControl/>
              <w:autoSpaceDE/>
              <w:autoSpaceDN/>
              <w:adjustRightInd/>
              <w:jc w:val="right"/>
              <w:rPr>
                <w:rFonts w:eastAsia="Times New Roman" w:cs="Arial"/>
                <w:color w:val="000000"/>
                <w:szCs w:val="22"/>
              </w:rPr>
            </w:pPr>
            <w:r>
              <w:rPr>
                <w:rFonts w:cs="Arial"/>
                <w:color w:val="000000"/>
                <w:szCs w:val="22"/>
              </w:rPr>
              <w:t xml:space="preserve"> $                                                5,942,585 </w:t>
            </w:r>
          </w:p>
        </w:tc>
      </w:tr>
      <w:tr w:rsidR="006828C4" w:rsidRPr="00C21F3A" w14:paraId="0AF7F71B" w14:textId="77777777" w:rsidTr="003E58F8">
        <w:trPr>
          <w:trHeight w:val="285"/>
        </w:trPr>
        <w:tc>
          <w:tcPr>
            <w:tcW w:w="0" w:type="auto"/>
            <w:tcBorders>
              <w:top w:val="single" w:sz="4" w:space="0" w:color="C4D79B"/>
              <w:left w:val="single" w:sz="4" w:space="0" w:color="C4D79B"/>
              <w:bottom w:val="single" w:sz="4" w:space="0" w:color="C4D79B"/>
              <w:right w:val="nil"/>
            </w:tcBorders>
            <w:shd w:val="clear" w:color="auto" w:fill="auto"/>
            <w:noWrap/>
            <w:vAlign w:val="bottom"/>
            <w:hideMark/>
          </w:tcPr>
          <w:p w14:paraId="69A9F9B0" w14:textId="000BB68B" w:rsidR="006828C4" w:rsidRPr="00C21F3A" w:rsidRDefault="006828C4" w:rsidP="006828C4">
            <w:pPr>
              <w:widowControl/>
              <w:autoSpaceDE/>
              <w:autoSpaceDN/>
              <w:adjustRightInd/>
              <w:rPr>
                <w:rFonts w:eastAsia="Times New Roman" w:cs="Arial"/>
                <w:color w:val="000000"/>
                <w:szCs w:val="22"/>
              </w:rPr>
            </w:pPr>
            <w:proofErr w:type="spellStart"/>
            <w:r>
              <w:rPr>
                <w:rFonts w:cs="Arial"/>
                <w:color w:val="000000"/>
                <w:szCs w:val="22"/>
              </w:rPr>
              <w:t>Ivoxy</w:t>
            </w:r>
            <w:proofErr w:type="spellEnd"/>
            <w:r>
              <w:rPr>
                <w:rFonts w:cs="Arial"/>
                <w:color w:val="000000"/>
                <w:szCs w:val="22"/>
              </w:rPr>
              <w:t xml:space="preserve"> Consulting</w:t>
            </w:r>
          </w:p>
        </w:tc>
        <w:tc>
          <w:tcPr>
            <w:tcW w:w="4400" w:type="dxa"/>
            <w:tcBorders>
              <w:top w:val="single" w:sz="4" w:space="0" w:color="C4D79B"/>
              <w:left w:val="nil"/>
              <w:bottom w:val="single" w:sz="4" w:space="0" w:color="C4D79B"/>
              <w:right w:val="single" w:sz="4" w:space="0" w:color="C4D79B"/>
            </w:tcBorders>
            <w:shd w:val="clear" w:color="auto" w:fill="auto"/>
            <w:noWrap/>
            <w:vAlign w:val="bottom"/>
            <w:hideMark/>
          </w:tcPr>
          <w:p w14:paraId="38DCD584" w14:textId="688FB7EA" w:rsidR="006828C4" w:rsidRPr="00C21F3A" w:rsidRDefault="006828C4" w:rsidP="006828C4">
            <w:pPr>
              <w:widowControl/>
              <w:autoSpaceDE/>
              <w:autoSpaceDN/>
              <w:adjustRightInd/>
              <w:jc w:val="right"/>
              <w:rPr>
                <w:rFonts w:eastAsia="Times New Roman" w:cs="Arial"/>
                <w:color w:val="000000"/>
                <w:szCs w:val="22"/>
              </w:rPr>
            </w:pPr>
            <w:r>
              <w:rPr>
                <w:rFonts w:cs="Arial"/>
                <w:color w:val="000000"/>
                <w:szCs w:val="22"/>
              </w:rPr>
              <w:t xml:space="preserve"> $                                                5,802,454 </w:t>
            </w:r>
          </w:p>
        </w:tc>
      </w:tr>
    </w:tbl>
    <w:p w14:paraId="5FB00B4A" w14:textId="77777777" w:rsidR="008F3D10" w:rsidRPr="00733D15" w:rsidRDefault="008F3D10" w:rsidP="00A712F8">
      <w:pPr>
        <w:rPr>
          <w:rFonts w:cs="Arial"/>
        </w:rPr>
      </w:pPr>
    </w:p>
    <w:p w14:paraId="7FAE0825" w14:textId="5CFE9EA7" w:rsidR="00FA2D3C" w:rsidRPr="000F697B" w:rsidRDefault="00F82665" w:rsidP="00FA2D3C">
      <w:pPr>
        <w:widowControl/>
        <w:autoSpaceDE/>
        <w:autoSpaceDN/>
        <w:adjustRightInd/>
        <w:rPr>
          <w:rFonts w:cs="Arial"/>
          <w:b/>
          <w:szCs w:val="22"/>
        </w:rPr>
      </w:pPr>
      <w:r>
        <w:rPr>
          <w:rFonts w:cs="Arial"/>
          <w:b/>
          <w:szCs w:val="22"/>
        </w:rPr>
        <w:t>Top 10 IT Vendors by FY</w:t>
      </w:r>
      <w:r w:rsidR="00FA2D3C" w:rsidRPr="000F697B">
        <w:rPr>
          <w:rFonts w:cs="Arial"/>
          <w:b/>
          <w:szCs w:val="22"/>
        </w:rPr>
        <w:t>2</w:t>
      </w:r>
      <w:r w:rsidR="00D96C88">
        <w:rPr>
          <w:rFonts w:cs="Arial"/>
          <w:b/>
          <w:szCs w:val="22"/>
        </w:rPr>
        <w:t>1</w:t>
      </w:r>
      <w:r w:rsidR="00FA2D3C" w:rsidRPr="000F697B">
        <w:rPr>
          <w:rFonts w:cs="Arial"/>
          <w:b/>
          <w:szCs w:val="22"/>
        </w:rPr>
        <w:t xml:space="preserve"> Spend for </w:t>
      </w:r>
      <w:proofErr w:type="gramStart"/>
      <w:r w:rsidR="00FA2D3C" w:rsidRPr="000F697B">
        <w:rPr>
          <w:rFonts w:cs="Arial"/>
          <w:b/>
          <w:szCs w:val="22"/>
        </w:rPr>
        <w:t>N</w:t>
      </w:r>
      <w:r w:rsidR="00BF24CD">
        <w:rPr>
          <w:rFonts w:cs="Arial"/>
          <w:b/>
          <w:szCs w:val="22"/>
        </w:rPr>
        <w:t>on</w:t>
      </w:r>
      <w:r w:rsidR="00FA2D3C" w:rsidRPr="000F697B">
        <w:rPr>
          <w:rFonts w:cs="Arial"/>
          <w:b/>
          <w:szCs w:val="22"/>
        </w:rPr>
        <w:t xml:space="preserve"> Master</w:t>
      </w:r>
      <w:proofErr w:type="gramEnd"/>
      <w:r w:rsidR="00FA2D3C" w:rsidRPr="000F697B">
        <w:rPr>
          <w:rFonts w:cs="Arial"/>
          <w:b/>
          <w:szCs w:val="22"/>
        </w:rPr>
        <w:t xml:space="preserve"> Contracts</w:t>
      </w:r>
    </w:p>
    <w:p w14:paraId="2DFD2ECE" w14:textId="77777777" w:rsidR="00C21F3A" w:rsidRPr="00733D15" w:rsidRDefault="00C21F3A" w:rsidP="00A712F8">
      <w:pPr>
        <w:rPr>
          <w:rFonts w:cs="Arial"/>
        </w:rPr>
      </w:pPr>
    </w:p>
    <w:tbl>
      <w:tblPr>
        <w:tblW w:w="5053" w:type="pct"/>
        <w:tblLook w:val="04A0" w:firstRow="1" w:lastRow="0" w:firstColumn="1" w:lastColumn="0" w:noHBand="0" w:noVBand="1"/>
      </w:tblPr>
      <w:tblGrid>
        <w:gridCol w:w="3827"/>
        <w:gridCol w:w="5623"/>
      </w:tblGrid>
      <w:tr w:rsidR="00C21F3A" w:rsidRPr="00C21F3A" w14:paraId="2762F7EC" w14:textId="77777777" w:rsidTr="003E58F8">
        <w:trPr>
          <w:trHeight w:val="285"/>
        </w:trPr>
        <w:tc>
          <w:tcPr>
            <w:tcW w:w="3827" w:type="dxa"/>
            <w:tcBorders>
              <w:top w:val="single" w:sz="4" w:space="0" w:color="C4D79B"/>
              <w:left w:val="single" w:sz="4" w:space="0" w:color="C4D79B"/>
              <w:bottom w:val="single" w:sz="4" w:space="0" w:color="C4D79B"/>
              <w:right w:val="nil"/>
            </w:tcBorders>
            <w:shd w:val="clear" w:color="9BBB59" w:fill="9BBB59"/>
            <w:noWrap/>
            <w:vAlign w:val="bottom"/>
            <w:hideMark/>
          </w:tcPr>
          <w:p w14:paraId="727FC652" w14:textId="77777777" w:rsidR="00C21F3A" w:rsidRPr="00C21F3A" w:rsidRDefault="00C21F3A" w:rsidP="00C21F3A">
            <w:pPr>
              <w:widowControl/>
              <w:autoSpaceDE/>
              <w:autoSpaceDN/>
              <w:adjustRightInd/>
              <w:rPr>
                <w:rFonts w:eastAsia="Times New Roman" w:cs="Arial"/>
                <w:b/>
                <w:bCs/>
                <w:color w:val="FFFFFF"/>
                <w:szCs w:val="22"/>
              </w:rPr>
            </w:pPr>
            <w:r w:rsidRPr="00C21F3A">
              <w:rPr>
                <w:rFonts w:eastAsia="Times New Roman" w:cs="Arial"/>
                <w:b/>
                <w:bCs/>
                <w:color w:val="FFFFFF"/>
                <w:szCs w:val="22"/>
              </w:rPr>
              <w:t>Vendor</w:t>
            </w:r>
          </w:p>
        </w:tc>
        <w:tc>
          <w:tcPr>
            <w:tcW w:w="5623" w:type="dxa"/>
            <w:tcBorders>
              <w:top w:val="single" w:sz="4" w:space="0" w:color="C4D79B"/>
              <w:left w:val="nil"/>
              <w:bottom w:val="single" w:sz="4" w:space="0" w:color="C4D79B"/>
              <w:right w:val="single" w:sz="4" w:space="0" w:color="C4D79B"/>
            </w:tcBorders>
            <w:shd w:val="clear" w:color="9BBB59" w:fill="9BBB59"/>
            <w:noWrap/>
            <w:vAlign w:val="bottom"/>
            <w:hideMark/>
          </w:tcPr>
          <w:p w14:paraId="2AE82868" w14:textId="77777777" w:rsidR="00C21F3A" w:rsidRPr="00C21F3A" w:rsidRDefault="00C21F3A" w:rsidP="00C21F3A">
            <w:pPr>
              <w:widowControl/>
              <w:autoSpaceDE/>
              <w:autoSpaceDN/>
              <w:adjustRightInd/>
              <w:jc w:val="right"/>
              <w:rPr>
                <w:rFonts w:eastAsia="Times New Roman" w:cs="Arial"/>
                <w:b/>
                <w:bCs/>
                <w:color w:val="FFFFFF"/>
                <w:szCs w:val="22"/>
              </w:rPr>
            </w:pPr>
            <w:r w:rsidRPr="00C21F3A">
              <w:rPr>
                <w:rFonts w:eastAsia="Times New Roman" w:cs="Arial"/>
                <w:b/>
                <w:bCs/>
                <w:color w:val="FFFFFF"/>
                <w:szCs w:val="22"/>
              </w:rPr>
              <w:t>FY 21 IT Contract Report Spend</w:t>
            </w:r>
          </w:p>
        </w:tc>
      </w:tr>
      <w:tr w:rsidR="006828C4" w:rsidRPr="00C21F3A" w14:paraId="05CE8A85" w14:textId="77777777" w:rsidTr="003E58F8">
        <w:trPr>
          <w:trHeight w:val="285"/>
        </w:trPr>
        <w:tc>
          <w:tcPr>
            <w:tcW w:w="3827" w:type="dxa"/>
            <w:tcBorders>
              <w:top w:val="single" w:sz="4" w:space="0" w:color="C4D79B"/>
              <w:left w:val="single" w:sz="4" w:space="0" w:color="C4D79B"/>
              <w:bottom w:val="single" w:sz="4" w:space="0" w:color="C4D79B"/>
              <w:right w:val="nil"/>
            </w:tcBorders>
            <w:shd w:val="clear" w:color="EBF1DE" w:fill="EBF1DE"/>
            <w:noWrap/>
            <w:vAlign w:val="bottom"/>
            <w:hideMark/>
          </w:tcPr>
          <w:p w14:paraId="1ACDDFEB" w14:textId="56AC20C3"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Submittable Inc</w:t>
            </w:r>
          </w:p>
        </w:tc>
        <w:tc>
          <w:tcPr>
            <w:tcW w:w="5623" w:type="dxa"/>
            <w:tcBorders>
              <w:top w:val="single" w:sz="4" w:space="0" w:color="C4D79B"/>
              <w:left w:val="nil"/>
              <w:bottom w:val="single" w:sz="4" w:space="0" w:color="C4D79B"/>
              <w:right w:val="single" w:sz="4" w:space="0" w:color="C4D79B"/>
            </w:tcBorders>
            <w:shd w:val="clear" w:color="EBF1DE" w:fill="EBF1DE"/>
            <w:noWrap/>
            <w:vAlign w:val="bottom"/>
            <w:hideMark/>
          </w:tcPr>
          <w:p w14:paraId="67140346" w14:textId="38AFB115" w:rsidR="006828C4" w:rsidRPr="00C21F3A" w:rsidRDefault="006828C4" w:rsidP="006828C4">
            <w:pPr>
              <w:widowControl/>
              <w:autoSpaceDE/>
              <w:autoSpaceDN/>
              <w:adjustRightInd/>
              <w:jc w:val="right"/>
              <w:rPr>
                <w:rFonts w:eastAsia="Times New Roman" w:cs="Arial"/>
                <w:color w:val="000000"/>
                <w:szCs w:val="22"/>
              </w:rPr>
            </w:pPr>
            <w:r>
              <w:rPr>
                <w:rFonts w:cs="Arial"/>
                <w:color w:val="000000"/>
                <w:szCs w:val="22"/>
              </w:rPr>
              <w:t xml:space="preserve"> $                                              62,650,000 </w:t>
            </w:r>
          </w:p>
        </w:tc>
      </w:tr>
      <w:tr w:rsidR="006828C4" w:rsidRPr="00C21F3A" w14:paraId="339C6764" w14:textId="77777777" w:rsidTr="003E58F8">
        <w:trPr>
          <w:trHeight w:val="285"/>
        </w:trPr>
        <w:tc>
          <w:tcPr>
            <w:tcW w:w="3827" w:type="dxa"/>
            <w:tcBorders>
              <w:top w:val="single" w:sz="4" w:space="0" w:color="C4D79B"/>
              <w:left w:val="single" w:sz="4" w:space="0" w:color="C4D79B"/>
              <w:bottom w:val="single" w:sz="4" w:space="0" w:color="C4D79B"/>
              <w:right w:val="nil"/>
            </w:tcBorders>
            <w:shd w:val="clear" w:color="auto" w:fill="auto"/>
            <w:noWrap/>
            <w:vAlign w:val="bottom"/>
            <w:hideMark/>
          </w:tcPr>
          <w:p w14:paraId="5FA4CDFB" w14:textId="1556558E"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CNSI</w:t>
            </w:r>
          </w:p>
        </w:tc>
        <w:tc>
          <w:tcPr>
            <w:tcW w:w="5623" w:type="dxa"/>
            <w:tcBorders>
              <w:top w:val="single" w:sz="4" w:space="0" w:color="C4D79B"/>
              <w:left w:val="nil"/>
              <w:bottom w:val="single" w:sz="4" w:space="0" w:color="C4D79B"/>
              <w:right w:val="single" w:sz="4" w:space="0" w:color="C4D79B"/>
            </w:tcBorders>
            <w:shd w:val="clear" w:color="auto" w:fill="auto"/>
            <w:noWrap/>
            <w:vAlign w:val="bottom"/>
            <w:hideMark/>
          </w:tcPr>
          <w:p w14:paraId="507F02D4" w14:textId="6B4FB6AE" w:rsidR="006828C4" w:rsidRPr="00C21F3A" w:rsidRDefault="006828C4" w:rsidP="006828C4">
            <w:pPr>
              <w:widowControl/>
              <w:autoSpaceDE/>
              <w:autoSpaceDN/>
              <w:adjustRightInd/>
              <w:jc w:val="right"/>
              <w:rPr>
                <w:rFonts w:eastAsia="Times New Roman" w:cs="Arial"/>
                <w:color w:val="000000"/>
                <w:szCs w:val="22"/>
              </w:rPr>
            </w:pPr>
            <w:r>
              <w:rPr>
                <w:rFonts w:cs="Arial"/>
                <w:color w:val="000000"/>
                <w:szCs w:val="22"/>
              </w:rPr>
              <w:t xml:space="preserve"> $                                              43,037,671 </w:t>
            </w:r>
          </w:p>
        </w:tc>
      </w:tr>
      <w:tr w:rsidR="006828C4" w:rsidRPr="00C21F3A" w14:paraId="7DFBD736" w14:textId="77777777" w:rsidTr="003E58F8">
        <w:trPr>
          <w:trHeight w:val="285"/>
        </w:trPr>
        <w:tc>
          <w:tcPr>
            <w:tcW w:w="3827" w:type="dxa"/>
            <w:tcBorders>
              <w:top w:val="single" w:sz="4" w:space="0" w:color="C4D79B"/>
              <w:left w:val="single" w:sz="4" w:space="0" w:color="C4D79B"/>
              <w:bottom w:val="single" w:sz="4" w:space="0" w:color="C4D79B"/>
              <w:right w:val="nil"/>
            </w:tcBorders>
            <w:shd w:val="clear" w:color="EBF1DE" w:fill="EBF1DE"/>
            <w:noWrap/>
            <w:vAlign w:val="bottom"/>
            <w:hideMark/>
          </w:tcPr>
          <w:p w14:paraId="12374225" w14:textId="265D0BFD"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IBM</w:t>
            </w:r>
          </w:p>
        </w:tc>
        <w:tc>
          <w:tcPr>
            <w:tcW w:w="5623" w:type="dxa"/>
            <w:tcBorders>
              <w:top w:val="single" w:sz="4" w:space="0" w:color="C4D79B"/>
              <w:left w:val="nil"/>
              <w:bottom w:val="single" w:sz="4" w:space="0" w:color="C4D79B"/>
              <w:right w:val="single" w:sz="4" w:space="0" w:color="C4D79B"/>
            </w:tcBorders>
            <w:shd w:val="clear" w:color="EBF1DE" w:fill="EBF1DE"/>
            <w:noWrap/>
            <w:vAlign w:val="bottom"/>
            <w:hideMark/>
          </w:tcPr>
          <w:p w14:paraId="6CF13E9C" w14:textId="081E2F6E" w:rsidR="006828C4" w:rsidRPr="00C21F3A" w:rsidRDefault="006828C4" w:rsidP="006828C4">
            <w:pPr>
              <w:widowControl/>
              <w:autoSpaceDE/>
              <w:autoSpaceDN/>
              <w:adjustRightInd/>
              <w:jc w:val="right"/>
              <w:rPr>
                <w:rFonts w:eastAsia="Times New Roman" w:cs="Arial"/>
                <w:color w:val="000000"/>
                <w:szCs w:val="22"/>
              </w:rPr>
            </w:pPr>
            <w:r>
              <w:rPr>
                <w:rFonts w:cs="Arial"/>
                <w:color w:val="000000"/>
                <w:szCs w:val="22"/>
              </w:rPr>
              <w:t xml:space="preserve"> $                                              41,648,919 </w:t>
            </w:r>
          </w:p>
        </w:tc>
      </w:tr>
      <w:tr w:rsidR="006828C4" w:rsidRPr="00C21F3A" w14:paraId="0E59F741" w14:textId="77777777" w:rsidTr="003E58F8">
        <w:trPr>
          <w:trHeight w:val="285"/>
        </w:trPr>
        <w:tc>
          <w:tcPr>
            <w:tcW w:w="3827" w:type="dxa"/>
            <w:tcBorders>
              <w:top w:val="single" w:sz="4" w:space="0" w:color="C4D79B"/>
              <w:left w:val="single" w:sz="4" w:space="0" w:color="C4D79B"/>
              <w:bottom w:val="single" w:sz="4" w:space="0" w:color="C4D79B"/>
              <w:right w:val="nil"/>
            </w:tcBorders>
            <w:shd w:val="clear" w:color="auto" w:fill="auto"/>
            <w:noWrap/>
            <w:vAlign w:val="bottom"/>
            <w:hideMark/>
          </w:tcPr>
          <w:p w14:paraId="417C2C3A" w14:textId="4A135270"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Deloitte Consulting L</w:t>
            </w:r>
            <w:r w:rsidR="003E58F8">
              <w:rPr>
                <w:rFonts w:cs="Arial"/>
                <w:color w:val="000000"/>
                <w:szCs w:val="22"/>
              </w:rPr>
              <w:t>LP</w:t>
            </w:r>
          </w:p>
        </w:tc>
        <w:tc>
          <w:tcPr>
            <w:tcW w:w="5623" w:type="dxa"/>
            <w:tcBorders>
              <w:top w:val="single" w:sz="4" w:space="0" w:color="C4D79B"/>
              <w:left w:val="nil"/>
              <w:bottom w:val="single" w:sz="4" w:space="0" w:color="C4D79B"/>
              <w:right w:val="single" w:sz="4" w:space="0" w:color="C4D79B"/>
            </w:tcBorders>
            <w:shd w:val="clear" w:color="auto" w:fill="auto"/>
            <w:noWrap/>
            <w:vAlign w:val="bottom"/>
            <w:hideMark/>
          </w:tcPr>
          <w:p w14:paraId="53B97F6A" w14:textId="11F59E77" w:rsidR="006828C4" w:rsidRPr="00C21F3A" w:rsidRDefault="006828C4" w:rsidP="006828C4">
            <w:pPr>
              <w:widowControl/>
              <w:autoSpaceDE/>
              <w:autoSpaceDN/>
              <w:adjustRightInd/>
              <w:jc w:val="right"/>
              <w:rPr>
                <w:rFonts w:eastAsia="Times New Roman" w:cs="Arial"/>
                <w:color w:val="000000"/>
                <w:szCs w:val="22"/>
              </w:rPr>
            </w:pPr>
            <w:r>
              <w:rPr>
                <w:rFonts w:cs="Arial"/>
                <w:color w:val="000000"/>
                <w:szCs w:val="22"/>
              </w:rPr>
              <w:t xml:space="preserve"> $                                              36,047,160 </w:t>
            </w:r>
          </w:p>
        </w:tc>
      </w:tr>
      <w:tr w:rsidR="006828C4" w:rsidRPr="00C21F3A" w14:paraId="32DF1106" w14:textId="77777777" w:rsidTr="003E58F8">
        <w:trPr>
          <w:trHeight w:val="285"/>
        </w:trPr>
        <w:tc>
          <w:tcPr>
            <w:tcW w:w="3827" w:type="dxa"/>
            <w:tcBorders>
              <w:top w:val="single" w:sz="4" w:space="0" w:color="C4D79B"/>
              <w:left w:val="single" w:sz="4" w:space="0" w:color="C4D79B"/>
              <w:bottom w:val="single" w:sz="4" w:space="0" w:color="C4D79B"/>
              <w:right w:val="nil"/>
            </w:tcBorders>
            <w:shd w:val="clear" w:color="EBF1DE" w:fill="EBF1DE"/>
            <w:noWrap/>
            <w:vAlign w:val="bottom"/>
            <w:hideMark/>
          </w:tcPr>
          <w:p w14:paraId="2C6F21C0" w14:textId="518C294B"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Washington State Child Care Resources</w:t>
            </w:r>
          </w:p>
        </w:tc>
        <w:tc>
          <w:tcPr>
            <w:tcW w:w="5623" w:type="dxa"/>
            <w:tcBorders>
              <w:top w:val="single" w:sz="4" w:space="0" w:color="C4D79B"/>
              <w:left w:val="nil"/>
              <w:bottom w:val="single" w:sz="4" w:space="0" w:color="C4D79B"/>
              <w:right w:val="single" w:sz="4" w:space="0" w:color="C4D79B"/>
            </w:tcBorders>
            <w:shd w:val="clear" w:color="EBF1DE" w:fill="EBF1DE"/>
            <w:noWrap/>
            <w:vAlign w:val="bottom"/>
            <w:hideMark/>
          </w:tcPr>
          <w:p w14:paraId="3E6E91E0" w14:textId="1E4F4C62" w:rsidR="006828C4" w:rsidRPr="00C21F3A" w:rsidRDefault="006828C4" w:rsidP="006828C4">
            <w:pPr>
              <w:widowControl/>
              <w:autoSpaceDE/>
              <w:autoSpaceDN/>
              <w:adjustRightInd/>
              <w:jc w:val="right"/>
              <w:rPr>
                <w:rFonts w:eastAsia="Times New Roman" w:cs="Arial"/>
                <w:color w:val="000000"/>
                <w:szCs w:val="22"/>
              </w:rPr>
            </w:pPr>
            <w:r>
              <w:rPr>
                <w:rFonts w:cs="Arial"/>
                <w:color w:val="000000"/>
                <w:szCs w:val="22"/>
              </w:rPr>
              <w:t xml:space="preserve"> $                                              27,982,102 </w:t>
            </w:r>
          </w:p>
        </w:tc>
      </w:tr>
      <w:tr w:rsidR="006828C4" w:rsidRPr="00C21F3A" w14:paraId="6C2A9935" w14:textId="77777777" w:rsidTr="003E58F8">
        <w:trPr>
          <w:trHeight w:val="285"/>
        </w:trPr>
        <w:tc>
          <w:tcPr>
            <w:tcW w:w="3827" w:type="dxa"/>
            <w:tcBorders>
              <w:top w:val="single" w:sz="4" w:space="0" w:color="C4D79B"/>
              <w:left w:val="single" w:sz="4" w:space="0" w:color="C4D79B"/>
              <w:bottom w:val="single" w:sz="4" w:space="0" w:color="C4D79B"/>
              <w:right w:val="nil"/>
            </w:tcBorders>
            <w:shd w:val="clear" w:color="auto" w:fill="auto"/>
            <w:noWrap/>
            <w:vAlign w:val="bottom"/>
            <w:hideMark/>
          </w:tcPr>
          <w:p w14:paraId="329CD412" w14:textId="117AC3C6"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CDW Government, Inc.</w:t>
            </w:r>
          </w:p>
        </w:tc>
        <w:tc>
          <w:tcPr>
            <w:tcW w:w="5623" w:type="dxa"/>
            <w:tcBorders>
              <w:top w:val="single" w:sz="4" w:space="0" w:color="C4D79B"/>
              <w:left w:val="nil"/>
              <w:bottom w:val="single" w:sz="4" w:space="0" w:color="C4D79B"/>
              <w:right w:val="single" w:sz="4" w:space="0" w:color="C4D79B"/>
            </w:tcBorders>
            <w:shd w:val="clear" w:color="auto" w:fill="auto"/>
            <w:noWrap/>
            <w:vAlign w:val="bottom"/>
            <w:hideMark/>
          </w:tcPr>
          <w:p w14:paraId="4580758E" w14:textId="1F2E0057" w:rsidR="006828C4" w:rsidRPr="00C21F3A" w:rsidRDefault="006828C4" w:rsidP="006828C4">
            <w:pPr>
              <w:widowControl/>
              <w:autoSpaceDE/>
              <w:autoSpaceDN/>
              <w:adjustRightInd/>
              <w:jc w:val="right"/>
              <w:rPr>
                <w:rFonts w:eastAsia="Times New Roman" w:cs="Arial"/>
                <w:color w:val="000000"/>
                <w:szCs w:val="22"/>
              </w:rPr>
            </w:pPr>
            <w:r>
              <w:rPr>
                <w:rFonts w:cs="Arial"/>
                <w:color w:val="000000"/>
                <w:szCs w:val="22"/>
              </w:rPr>
              <w:t xml:space="preserve"> $                                              22,114,435 </w:t>
            </w:r>
          </w:p>
        </w:tc>
      </w:tr>
      <w:tr w:rsidR="006828C4" w:rsidRPr="00C21F3A" w14:paraId="2816E6A9" w14:textId="77777777" w:rsidTr="003E58F8">
        <w:trPr>
          <w:trHeight w:val="285"/>
        </w:trPr>
        <w:tc>
          <w:tcPr>
            <w:tcW w:w="3827" w:type="dxa"/>
            <w:tcBorders>
              <w:top w:val="single" w:sz="4" w:space="0" w:color="C4D79B"/>
              <w:left w:val="single" w:sz="4" w:space="0" w:color="C4D79B"/>
              <w:bottom w:val="single" w:sz="4" w:space="0" w:color="C4D79B"/>
              <w:right w:val="nil"/>
            </w:tcBorders>
            <w:shd w:val="clear" w:color="EBF1DE" w:fill="EBF1DE"/>
            <w:noWrap/>
            <w:vAlign w:val="bottom"/>
            <w:hideMark/>
          </w:tcPr>
          <w:p w14:paraId="3944712D" w14:textId="377E75D4"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FYI Properties</w:t>
            </w:r>
          </w:p>
        </w:tc>
        <w:tc>
          <w:tcPr>
            <w:tcW w:w="5623" w:type="dxa"/>
            <w:tcBorders>
              <w:top w:val="single" w:sz="4" w:space="0" w:color="C4D79B"/>
              <w:left w:val="nil"/>
              <w:bottom w:val="single" w:sz="4" w:space="0" w:color="C4D79B"/>
              <w:right w:val="single" w:sz="4" w:space="0" w:color="C4D79B"/>
            </w:tcBorders>
            <w:shd w:val="clear" w:color="EBF1DE" w:fill="EBF1DE"/>
            <w:noWrap/>
            <w:vAlign w:val="bottom"/>
            <w:hideMark/>
          </w:tcPr>
          <w:p w14:paraId="11B6ACFB" w14:textId="4F68B56F" w:rsidR="006828C4" w:rsidRPr="00C21F3A" w:rsidRDefault="006828C4" w:rsidP="006828C4">
            <w:pPr>
              <w:widowControl/>
              <w:autoSpaceDE/>
              <w:autoSpaceDN/>
              <w:adjustRightInd/>
              <w:jc w:val="right"/>
              <w:rPr>
                <w:rFonts w:eastAsia="Times New Roman" w:cs="Arial"/>
                <w:color w:val="000000"/>
                <w:szCs w:val="22"/>
              </w:rPr>
            </w:pPr>
            <w:r>
              <w:rPr>
                <w:rFonts w:cs="Arial"/>
                <w:color w:val="000000"/>
                <w:szCs w:val="22"/>
              </w:rPr>
              <w:t xml:space="preserve"> $                                              21,924,037 </w:t>
            </w:r>
          </w:p>
        </w:tc>
      </w:tr>
      <w:tr w:rsidR="006828C4" w:rsidRPr="00C21F3A" w14:paraId="023EF944" w14:textId="77777777" w:rsidTr="003E58F8">
        <w:trPr>
          <w:trHeight w:val="285"/>
        </w:trPr>
        <w:tc>
          <w:tcPr>
            <w:tcW w:w="3827" w:type="dxa"/>
            <w:tcBorders>
              <w:top w:val="single" w:sz="4" w:space="0" w:color="C4D79B"/>
              <w:left w:val="single" w:sz="4" w:space="0" w:color="C4D79B"/>
              <w:bottom w:val="single" w:sz="4" w:space="0" w:color="C4D79B"/>
              <w:right w:val="nil"/>
            </w:tcBorders>
            <w:shd w:val="clear" w:color="auto" w:fill="auto"/>
            <w:noWrap/>
            <w:vAlign w:val="bottom"/>
            <w:hideMark/>
          </w:tcPr>
          <w:p w14:paraId="119BB432" w14:textId="082A98DF"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Epic Systems Corp</w:t>
            </w:r>
          </w:p>
        </w:tc>
        <w:tc>
          <w:tcPr>
            <w:tcW w:w="5623" w:type="dxa"/>
            <w:tcBorders>
              <w:top w:val="single" w:sz="4" w:space="0" w:color="C4D79B"/>
              <w:left w:val="nil"/>
              <w:bottom w:val="single" w:sz="4" w:space="0" w:color="C4D79B"/>
              <w:right w:val="single" w:sz="4" w:space="0" w:color="C4D79B"/>
            </w:tcBorders>
            <w:shd w:val="clear" w:color="auto" w:fill="auto"/>
            <w:noWrap/>
            <w:vAlign w:val="bottom"/>
            <w:hideMark/>
          </w:tcPr>
          <w:p w14:paraId="1D5C8AA1" w14:textId="17CCC1C6" w:rsidR="006828C4" w:rsidRPr="00C21F3A" w:rsidRDefault="006828C4" w:rsidP="006828C4">
            <w:pPr>
              <w:widowControl/>
              <w:autoSpaceDE/>
              <w:autoSpaceDN/>
              <w:adjustRightInd/>
              <w:jc w:val="right"/>
              <w:rPr>
                <w:rFonts w:eastAsia="Times New Roman" w:cs="Arial"/>
                <w:color w:val="000000"/>
                <w:szCs w:val="22"/>
              </w:rPr>
            </w:pPr>
            <w:r>
              <w:rPr>
                <w:rFonts w:cs="Arial"/>
                <w:color w:val="000000"/>
                <w:szCs w:val="22"/>
              </w:rPr>
              <w:t xml:space="preserve"> $                                              21,346,562 </w:t>
            </w:r>
          </w:p>
        </w:tc>
      </w:tr>
      <w:tr w:rsidR="006828C4" w:rsidRPr="00C21F3A" w14:paraId="7143E159" w14:textId="77777777" w:rsidTr="003E58F8">
        <w:trPr>
          <w:trHeight w:val="285"/>
        </w:trPr>
        <w:tc>
          <w:tcPr>
            <w:tcW w:w="3827" w:type="dxa"/>
            <w:tcBorders>
              <w:top w:val="single" w:sz="4" w:space="0" w:color="C4D79B"/>
              <w:left w:val="single" w:sz="4" w:space="0" w:color="C4D79B"/>
              <w:bottom w:val="single" w:sz="4" w:space="0" w:color="C4D79B"/>
              <w:right w:val="nil"/>
            </w:tcBorders>
            <w:shd w:val="clear" w:color="EBF1DE" w:fill="EBF1DE"/>
            <w:noWrap/>
            <w:vAlign w:val="bottom"/>
            <w:hideMark/>
          </w:tcPr>
          <w:p w14:paraId="44ED50B6" w14:textId="1E5122A5"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Microsoft</w:t>
            </w:r>
          </w:p>
        </w:tc>
        <w:tc>
          <w:tcPr>
            <w:tcW w:w="5623" w:type="dxa"/>
            <w:tcBorders>
              <w:top w:val="single" w:sz="4" w:space="0" w:color="C4D79B"/>
              <w:left w:val="nil"/>
              <w:bottom w:val="single" w:sz="4" w:space="0" w:color="C4D79B"/>
              <w:right w:val="single" w:sz="4" w:space="0" w:color="C4D79B"/>
            </w:tcBorders>
            <w:shd w:val="clear" w:color="EBF1DE" w:fill="EBF1DE"/>
            <w:noWrap/>
            <w:vAlign w:val="bottom"/>
            <w:hideMark/>
          </w:tcPr>
          <w:p w14:paraId="5F3E39FF" w14:textId="17D3A3FE" w:rsidR="006828C4" w:rsidRPr="00C21F3A" w:rsidRDefault="006828C4" w:rsidP="006828C4">
            <w:pPr>
              <w:widowControl/>
              <w:autoSpaceDE/>
              <w:autoSpaceDN/>
              <w:adjustRightInd/>
              <w:jc w:val="right"/>
              <w:rPr>
                <w:rFonts w:eastAsia="Times New Roman" w:cs="Arial"/>
                <w:color w:val="000000"/>
                <w:szCs w:val="22"/>
              </w:rPr>
            </w:pPr>
            <w:r>
              <w:rPr>
                <w:rFonts w:cs="Arial"/>
                <w:color w:val="000000"/>
                <w:szCs w:val="22"/>
              </w:rPr>
              <w:t xml:space="preserve"> $                                              17,176,029 </w:t>
            </w:r>
          </w:p>
        </w:tc>
      </w:tr>
      <w:tr w:rsidR="006828C4" w:rsidRPr="00C21F3A" w14:paraId="453FB227" w14:textId="77777777" w:rsidTr="003E58F8">
        <w:trPr>
          <w:trHeight w:val="285"/>
        </w:trPr>
        <w:tc>
          <w:tcPr>
            <w:tcW w:w="3827" w:type="dxa"/>
            <w:tcBorders>
              <w:top w:val="single" w:sz="4" w:space="0" w:color="C4D79B"/>
              <w:left w:val="single" w:sz="4" w:space="0" w:color="C4D79B"/>
              <w:bottom w:val="single" w:sz="4" w:space="0" w:color="C4D79B"/>
              <w:right w:val="nil"/>
            </w:tcBorders>
            <w:shd w:val="clear" w:color="auto" w:fill="auto"/>
            <w:noWrap/>
            <w:vAlign w:val="bottom"/>
            <w:hideMark/>
          </w:tcPr>
          <w:p w14:paraId="5428FAE2" w14:textId="1B137B20" w:rsidR="006828C4" w:rsidRPr="00C21F3A" w:rsidRDefault="006828C4" w:rsidP="006828C4">
            <w:pPr>
              <w:widowControl/>
              <w:autoSpaceDE/>
              <w:autoSpaceDN/>
              <w:adjustRightInd/>
              <w:rPr>
                <w:rFonts w:eastAsia="Times New Roman" w:cs="Arial"/>
                <w:color w:val="000000"/>
                <w:szCs w:val="22"/>
              </w:rPr>
            </w:pPr>
            <w:r>
              <w:rPr>
                <w:rFonts w:cs="Arial"/>
                <w:color w:val="000000"/>
                <w:szCs w:val="22"/>
              </w:rPr>
              <w:t>Workday Inc</w:t>
            </w:r>
          </w:p>
        </w:tc>
        <w:tc>
          <w:tcPr>
            <w:tcW w:w="5623" w:type="dxa"/>
            <w:tcBorders>
              <w:top w:val="single" w:sz="4" w:space="0" w:color="C4D79B"/>
              <w:left w:val="nil"/>
              <w:bottom w:val="single" w:sz="4" w:space="0" w:color="C4D79B"/>
              <w:right w:val="single" w:sz="4" w:space="0" w:color="C4D79B"/>
            </w:tcBorders>
            <w:shd w:val="clear" w:color="auto" w:fill="auto"/>
            <w:noWrap/>
            <w:vAlign w:val="bottom"/>
            <w:hideMark/>
          </w:tcPr>
          <w:p w14:paraId="432D8B24" w14:textId="756E49F0" w:rsidR="006828C4" w:rsidRPr="00C21F3A" w:rsidRDefault="006828C4" w:rsidP="006828C4">
            <w:pPr>
              <w:widowControl/>
              <w:autoSpaceDE/>
              <w:autoSpaceDN/>
              <w:adjustRightInd/>
              <w:jc w:val="right"/>
              <w:rPr>
                <w:rFonts w:eastAsia="Times New Roman" w:cs="Arial"/>
                <w:color w:val="000000"/>
                <w:szCs w:val="22"/>
              </w:rPr>
            </w:pPr>
            <w:r>
              <w:rPr>
                <w:rFonts w:cs="Arial"/>
                <w:color w:val="000000"/>
                <w:szCs w:val="22"/>
              </w:rPr>
              <w:t xml:space="preserve"> $                                              16,749,783 </w:t>
            </w:r>
          </w:p>
        </w:tc>
      </w:tr>
    </w:tbl>
    <w:p w14:paraId="3F39114A" w14:textId="77777777" w:rsidR="003A0AE5" w:rsidRDefault="003A0AE5" w:rsidP="00A712F8">
      <w:pPr>
        <w:rPr>
          <w:rFonts w:cs="Arial"/>
          <w:szCs w:val="22"/>
        </w:rPr>
      </w:pPr>
    </w:p>
    <w:p w14:paraId="06029179" w14:textId="22607106" w:rsidR="009613E9" w:rsidRDefault="00D36BCA" w:rsidP="00A712F8">
      <w:pPr>
        <w:rPr>
          <w:rFonts w:cs="Arial"/>
          <w:szCs w:val="22"/>
        </w:rPr>
      </w:pPr>
      <w:r>
        <w:rPr>
          <w:rFonts w:cs="Arial"/>
          <w:szCs w:val="22"/>
        </w:rPr>
        <w:t>When comparing the previous tables to the FY20 dataset, t</w:t>
      </w:r>
      <w:r w:rsidR="00D96C88">
        <w:rPr>
          <w:rFonts w:cs="Arial"/>
          <w:szCs w:val="22"/>
        </w:rPr>
        <w:t xml:space="preserve">here are a few vendors </w:t>
      </w:r>
      <w:r>
        <w:rPr>
          <w:rFonts w:cs="Arial"/>
          <w:szCs w:val="22"/>
        </w:rPr>
        <w:t xml:space="preserve">this year </w:t>
      </w:r>
      <w:r w:rsidR="00D96C88">
        <w:rPr>
          <w:rFonts w:cs="Arial"/>
          <w:szCs w:val="22"/>
        </w:rPr>
        <w:t xml:space="preserve">that were not included in the top </w:t>
      </w:r>
      <w:r w:rsidR="00340396" w:rsidRPr="008569EB">
        <w:rPr>
          <w:rFonts w:cs="Arial"/>
          <w:szCs w:val="22"/>
        </w:rPr>
        <w:t>vendors reported last year</w:t>
      </w:r>
      <w:r w:rsidR="00FA2D3C" w:rsidRPr="008569EB">
        <w:rPr>
          <w:rFonts w:cs="Arial"/>
          <w:szCs w:val="22"/>
        </w:rPr>
        <w:t xml:space="preserve">. </w:t>
      </w:r>
      <w:r w:rsidR="00D96C88">
        <w:rPr>
          <w:rFonts w:cs="Arial"/>
          <w:szCs w:val="22"/>
        </w:rPr>
        <w:t>Th</w:t>
      </w:r>
      <w:r w:rsidR="00575E9A">
        <w:rPr>
          <w:rFonts w:cs="Arial"/>
          <w:szCs w:val="22"/>
        </w:rPr>
        <w:t xml:space="preserve">ese vendors are either </w:t>
      </w:r>
      <w:r w:rsidR="00D96C88">
        <w:rPr>
          <w:rFonts w:cs="Arial"/>
          <w:szCs w:val="22"/>
        </w:rPr>
        <w:t xml:space="preserve">newly awarded vendors on </w:t>
      </w:r>
      <w:r w:rsidR="00582B79">
        <w:rPr>
          <w:rFonts w:cs="Arial"/>
          <w:szCs w:val="22"/>
        </w:rPr>
        <w:t>m</w:t>
      </w:r>
      <w:r w:rsidR="00D96C88">
        <w:rPr>
          <w:rFonts w:cs="Arial"/>
          <w:szCs w:val="22"/>
        </w:rPr>
        <w:t xml:space="preserve">aster </w:t>
      </w:r>
      <w:r w:rsidR="00582B79">
        <w:rPr>
          <w:rFonts w:cs="Arial"/>
          <w:szCs w:val="22"/>
        </w:rPr>
        <w:t>c</w:t>
      </w:r>
      <w:r w:rsidR="00D96C88">
        <w:rPr>
          <w:rFonts w:cs="Arial"/>
          <w:szCs w:val="22"/>
        </w:rPr>
        <w:t xml:space="preserve">ontracts </w:t>
      </w:r>
      <w:r w:rsidR="00575E9A">
        <w:rPr>
          <w:rFonts w:cs="Arial"/>
          <w:szCs w:val="22"/>
        </w:rPr>
        <w:t>or</w:t>
      </w:r>
      <w:r w:rsidR="00D96C88">
        <w:rPr>
          <w:rFonts w:cs="Arial"/>
          <w:szCs w:val="22"/>
        </w:rPr>
        <w:t xml:space="preserve"> </w:t>
      </w:r>
      <w:r w:rsidR="00F52A33">
        <w:rPr>
          <w:rFonts w:cs="Arial"/>
          <w:szCs w:val="22"/>
        </w:rPr>
        <w:t>agency contracts.</w:t>
      </w:r>
      <w:r w:rsidR="00340396" w:rsidRPr="008569EB">
        <w:rPr>
          <w:rFonts w:cs="Arial"/>
          <w:szCs w:val="22"/>
        </w:rPr>
        <w:t xml:space="preserve"> </w:t>
      </w:r>
    </w:p>
    <w:p w14:paraId="7631E43A" w14:textId="77777777" w:rsidR="00164BF7" w:rsidRPr="008569EB" w:rsidRDefault="00164BF7" w:rsidP="00A712F8">
      <w:pPr>
        <w:rPr>
          <w:rFonts w:cs="Arial"/>
          <w:szCs w:val="22"/>
        </w:rPr>
      </w:pPr>
    </w:p>
    <w:p w14:paraId="730D84E5" w14:textId="51973BD4" w:rsidR="00BF24CD" w:rsidRPr="00BF24CD" w:rsidRDefault="00BF24CD" w:rsidP="00A712F8">
      <w:pPr>
        <w:rPr>
          <w:rFonts w:cs="Arial"/>
          <w:b/>
        </w:rPr>
      </w:pPr>
      <w:r w:rsidRPr="00BF24CD">
        <w:rPr>
          <w:rFonts w:cs="Arial"/>
          <w:b/>
        </w:rPr>
        <w:t>FY2</w:t>
      </w:r>
      <w:r w:rsidR="00D96C88">
        <w:rPr>
          <w:rFonts w:cs="Arial"/>
          <w:b/>
        </w:rPr>
        <w:t>1</w:t>
      </w:r>
      <w:r w:rsidRPr="00BF24CD">
        <w:rPr>
          <w:rFonts w:cs="Arial"/>
          <w:b/>
        </w:rPr>
        <w:t xml:space="preserve"> Analysis Challenges</w:t>
      </w:r>
    </w:p>
    <w:p w14:paraId="68B040E5" w14:textId="77777777" w:rsidR="00BF24CD" w:rsidRDefault="00BF24CD" w:rsidP="00A712F8">
      <w:pPr>
        <w:rPr>
          <w:rFonts w:cs="Arial"/>
          <w:szCs w:val="22"/>
        </w:rPr>
      </w:pPr>
    </w:p>
    <w:p w14:paraId="50E26F38" w14:textId="28BA4A07" w:rsidR="005E5F41" w:rsidRDefault="00F52A33" w:rsidP="00A712F8">
      <w:pPr>
        <w:rPr>
          <w:rFonts w:cs="Arial"/>
          <w:szCs w:val="22"/>
        </w:rPr>
      </w:pPr>
      <w:r w:rsidRPr="00F52A33">
        <w:rPr>
          <w:rFonts w:cs="Arial"/>
          <w:szCs w:val="22"/>
        </w:rPr>
        <w:t>This is the first year in which IT contracts that were active at any point during the fiscal year were required to be reported. A comparison to FY20 is still not very accurate since the reporting period has changed. Many contracts active in FY20 could have been excluded in the FY20 report.</w:t>
      </w:r>
    </w:p>
    <w:p w14:paraId="350522A7" w14:textId="77777777" w:rsidR="00F52A33" w:rsidRPr="00CE652B" w:rsidRDefault="00F52A33" w:rsidP="00A712F8">
      <w:pPr>
        <w:rPr>
          <w:rFonts w:cs="Arial"/>
          <w:szCs w:val="22"/>
          <w:highlight w:val="yellow"/>
        </w:rPr>
      </w:pPr>
    </w:p>
    <w:p w14:paraId="19D1887E" w14:textId="4A9838E3" w:rsidR="005E5F41" w:rsidRPr="00DA5BF2" w:rsidRDefault="00695772" w:rsidP="00A712F8">
      <w:pPr>
        <w:rPr>
          <w:rFonts w:cs="Arial"/>
          <w:szCs w:val="22"/>
        </w:rPr>
      </w:pPr>
      <w:r w:rsidRPr="00DA5BF2">
        <w:rPr>
          <w:rFonts w:cs="Arial"/>
          <w:szCs w:val="22"/>
        </w:rPr>
        <w:t xml:space="preserve">The due date of </w:t>
      </w:r>
      <w:r w:rsidR="001F3625" w:rsidRPr="00DA5BF2">
        <w:rPr>
          <w:rFonts w:cs="Arial"/>
          <w:szCs w:val="22"/>
        </w:rPr>
        <w:t>Oct</w:t>
      </w:r>
      <w:r w:rsidR="001F3625">
        <w:rPr>
          <w:rFonts w:cs="Arial"/>
          <w:szCs w:val="22"/>
        </w:rPr>
        <w:t>.</w:t>
      </w:r>
      <w:r w:rsidR="001F3625" w:rsidRPr="00DA5BF2">
        <w:rPr>
          <w:rFonts w:cs="Arial"/>
          <w:szCs w:val="22"/>
        </w:rPr>
        <w:t xml:space="preserve"> </w:t>
      </w:r>
      <w:r w:rsidRPr="00DA5BF2">
        <w:rPr>
          <w:rFonts w:cs="Arial"/>
          <w:szCs w:val="22"/>
        </w:rPr>
        <w:t xml:space="preserve">31 continues to be </w:t>
      </w:r>
      <w:r w:rsidR="00855C2F">
        <w:rPr>
          <w:rFonts w:cs="Arial"/>
          <w:szCs w:val="22"/>
        </w:rPr>
        <w:t xml:space="preserve">a </w:t>
      </w:r>
      <w:r w:rsidRPr="00DA5BF2">
        <w:rPr>
          <w:rFonts w:cs="Arial"/>
          <w:szCs w:val="22"/>
        </w:rPr>
        <w:t xml:space="preserve">challenge for DES </w:t>
      </w:r>
      <w:r w:rsidR="00A77A4C">
        <w:rPr>
          <w:rFonts w:cs="Arial"/>
          <w:szCs w:val="22"/>
        </w:rPr>
        <w:t>to complete an analysis</w:t>
      </w:r>
      <w:r w:rsidR="000C100D">
        <w:rPr>
          <w:rFonts w:cs="Arial"/>
          <w:szCs w:val="22"/>
        </w:rPr>
        <w:t xml:space="preserve">. </w:t>
      </w:r>
      <w:r w:rsidR="00B37FEC">
        <w:rPr>
          <w:rFonts w:cs="Arial"/>
          <w:szCs w:val="22"/>
        </w:rPr>
        <w:t>A</w:t>
      </w:r>
      <w:r w:rsidRPr="00DA5BF2">
        <w:rPr>
          <w:rFonts w:cs="Arial"/>
          <w:szCs w:val="22"/>
        </w:rPr>
        <w:t xml:space="preserve"> due date of </w:t>
      </w:r>
      <w:r w:rsidR="001F3625" w:rsidRPr="00DA5BF2">
        <w:rPr>
          <w:rFonts w:cs="Arial"/>
          <w:szCs w:val="22"/>
        </w:rPr>
        <w:t>Sept</w:t>
      </w:r>
      <w:r w:rsidR="001F3625">
        <w:rPr>
          <w:rFonts w:cs="Arial"/>
          <w:szCs w:val="22"/>
        </w:rPr>
        <w:t>.</w:t>
      </w:r>
      <w:r w:rsidR="001F3625" w:rsidRPr="00DA5BF2">
        <w:rPr>
          <w:rFonts w:cs="Arial"/>
          <w:szCs w:val="22"/>
        </w:rPr>
        <w:t xml:space="preserve"> </w:t>
      </w:r>
      <w:r w:rsidRPr="00DA5BF2">
        <w:rPr>
          <w:rFonts w:cs="Arial"/>
          <w:szCs w:val="22"/>
        </w:rPr>
        <w:t>1 for agencies to su</w:t>
      </w:r>
      <w:r>
        <w:rPr>
          <w:rFonts w:cs="Arial"/>
          <w:szCs w:val="22"/>
        </w:rPr>
        <w:t>bmit their reports</w:t>
      </w:r>
      <w:r w:rsidR="008C006E">
        <w:rPr>
          <w:rFonts w:cs="Arial"/>
          <w:szCs w:val="22"/>
        </w:rPr>
        <w:t xml:space="preserve"> is necessary</w:t>
      </w:r>
      <w:r>
        <w:rPr>
          <w:rFonts w:cs="Arial"/>
          <w:szCs w:val="22"/>
        </w:rPr>
        <w:t xml:space="preserve"> </w:t>
      </w:r>
      <w:r w:rsidR="00B37FEC">
        <w:rPr>
          <w:rFonts w:cs="Arial"/>
          <w:szCs w:val="22"/>
        </w:rPr>
        <w:t>for DES</w:t>
      </w:r>
      <w:r>
        <w:rPr>
          <w:rFonts w:cs="Arial"/>
          <w:szCs w:val="22"/>
        </w:rPr>
        <w:t xml:space="preserve"> to complete </w:t>
      </w:r>
      <w:r w:rsidR="00B37FEC">
        <w:rPr>
          <w:rFonts w:cs="Arial"/>
          <w:szCs w:val="22"/>
        </w:rPr>
        <w:t xml:space="preserve">the </w:t>
      </w:r>
      <w:r w:rsidR="003E58F8">
        <w:rPr>
          <w:rFonts w:cs="Arial"/>
          <w:szCs w:val="22"/>
        </w:rPr>
        <w:t>analysis and</w:t>
      </w:r>
      <w:r w:rsidR="0017331E">
        <w:rPr>
          <w:rFonts w:cs="Arial"/>
          <w:szCs w:val="22"/>
        </w:rPr>
        <w:t xml:space="preserve"> </w:t>
      </w:r>
      <w:r>
        <w:rPr>
          <w:rFonts w:cs="Arial"/>
          <w:szCs w:val="22"/>
        </w:rPr>
        <w:t>allow time for an internal review</w:t>
      </w:r>
      <w:r w:rsidR="0017331E">
        <w:rPr>
          <w:rFonts w:cs="Arial"/>
          <w:szCs w:val="22"/>
        </w:rPr>
        <w:t xml:space="preserve"> </w:t>
      </w:r>
      <w:r>
        <w:rPr>
          <w:rFonts w:cs="Arial"/>
          <w:szCs w:val="22"/>
        </w:rPr>
        <w:t xml:space="preserve">and a </w:t>
      </w:r>
      <w:r w:rsidR="001E0A72">
        <w:rPr>
          <w:rFonts w:cs="Arial"/>
          <w:szCs w:val="22"/>
        </w:rPr>
        <w:t>30-day</w:t>
      </w:r>
      <w:r>
        <w:rPr>
          <w:rFonts w:cs="Arial"/>
          <w:szCs w:val="22"/>
        </w:rPr>
        <w:t xml:space="preserve"> external review of the report by </w:t>
      </w:r>
      <w:r w:rsidR="001F3625">
        <w:rPr>
          <w:rFonts w:cs="Arial"/>
          <w:szCs w:val="22"/>
        </w:rPr>
        <w:t xml:space="preserve">Oct. </w:t>
      </w:r>
      <w:r>
        <w:rPr>
          <w:rFonts w:cs="Arial"/>
          <w:szCs w:val="22"/>
        </w:rPr>
        <w:t xml:space="preserve">31. </w:t>
      </w:r>
      <w:r w:rsidR="000C100D">
        <w:rPr>
          <w:rFonts w:cs="Arial"/>
          <w:szCs w:val="22"/>
        </w:rPr>
        <w:t xml:space="preserve">With the final phase 2 fiscal year close in early September and the vendor reported </w:t>
      </w:r>
      <w:r w:rsidR="008C006E">
        <w:rPr>
          <w:rFonts w:cs="Arial"/>
          <w:szCs w:val="22"/>
        </w:rPr>
        <w:t>m</w:t>
      </w:r>
      <w:r w:rsidR="000C100D">
        <w:rPr>
          <w:rFonts w:cs="Arial"/>
          <w:szCs w:val="22"/>
        </w:rPr>
        <w:t xml:space="preserve">aster </w:t>
      </w:r>
      <w:r w:rsidR="008C006E">
        <w:rPr>
          <w:rFonts w:cs="Arial"/>
          <w:szCs w:val="22"/>
        </w:rPr>
        <w:t>c</w:t>
      </w:r>
      <w:r w:rsidR="000C100D">
        <w:rPr>
          <w:rFonts w:cs="Arial"/>
          <w:szCs w:val="22"/>
        </w:rPr>
        <w:t xml:space="preserve">ontract sales due on July 31, agencies </w:t>
      </w:r>
      <w:r w:rsidR="0017331E">
        <w:rPr>
          <w:rFonts w:cs="Arial"/>
          <w:szCs w:val="22"/>
        </w:rPr>
        <w:t>scramble</w:t>
      </w:r>
      <w:r w:rsidR="000C100D">
        <w:rPr>
          <w:rFonts w:cs="Arial"/>
          <w:szCs w:val="22"/>
        </w:rPr>
        <w:t xml:space="preserve"> to meet the </w:t>
      </w:r>
      <w:r w:rsidR="001F3625">
        <w:rPr>
          <w:rFonts w:cs="Arial"/>
          <w:szCs w:val="22"/>
        </w:rPr>
        <w:t>Sept.</w:t>
      </w:r>
      <w:r w:rsidR="000C100D">
        <w:rPr>
          <w:rFonts w:cs="Arial"/>
          <w:szCs w:val="22"/>
        </w:rPr>
        <w:t xml:space="preserve">1 deadline. When agencies do not meet the due date, DES </w:t>
      </w:r>
      <w:r w:rsidR="0017331E">
        <w:rPr>
          <w:rFonts w:cs="Arial"/>
          <w:szCs w:val="22"/>
        </w:rPr>
        <w:t>cannot</w:t>
      </w:r>
      <w:r w:rsidR="000C100D">
        <w:rPr>
          <w:rFonts w:cs="Arial"/>
          <w:szCs w:val="22"/>
        </w:rPr>
        <w:t xml:space="preserve"> complete a full analysis for the </w:t>
      </w:r>
      <w:r w:rsidR="001F3625">
        <w:rPr>
          <w:rFonts w:cs="Arial"/>
          <w:szCs w:val="22"/>
        </w:rPr>
        <w:t xml:space="preserve">Oct. </w:t>
      </w:r>
      <w:r w:rsidR="000C100D">
        <w:rPr>
          <w:rFonts w:cs="Arial"/>
          <w:szCs w:val="22"/>
        </w:rPr>
        <w:t xml:space="preserve">31 submission and </w:t>
      </w:r>
      <w:r w:rsidR="00C4227B">
        <w:rPr>
          <w:rFonts w:cs="Arial"/>
          <w:szCs w:val="22"/>
        </w:rPr>
        <w:t xml:space="preserve">is required to complete </w:t>
      </w:r>
      <w:r w:rsidR="001E0A72">
        <w:rPr>
          <w:rFonts w:cs="Arial"/>
          <w:szCs w:val="22"/>
        </w:rPr>
        <w:t>a second report</w:t>
      </w:r>
      <w:r w:rsidR="00C4227B">
        <w:rPr>
          <w:rFonts w:cs="Arial"/>
          <w:szCs w:val="22"/>
        </w:rPr>
        <w:t xml:space="preserve"> and analysis each year.</w:t>
      </w:r>
    </w:p>
    <w:p w14:paraId="166E18C0" w14:textId="77777777" w:rsidR="005E5F41" w:rsidRPr="00DA5BF2" w:rsidRDefault="005E5F41" w:rsidP="00A712F8">
      <w:pPr>
        <w:rPr>
          <w:rFonts w:cs="Arial"/>
          <w:szCs w:val="22"/>
        </w:rPr>
      </w:pPr>
    </w:p>
    <w:p w14:paraId="2A542844" w14:textId="77777777" w:rsidR="00D92926" w:rsidRPr="008569EB" w:rsidRDefault="00D262AC" w:rsidP="00A712F8">
      <w:pPr>
        <w:rPr>
          <w:rFonts w:cs="Arial"/>
          <w:b/>
        </w:rPr>
      </w:pPr>
      <w:r w:rsidRPr="008569EB">
        <w:rPr>
          <w:rFonts w:cs="Arial"/>
          <w:b/>
        </w:rPr>
        <w:t xml:space="preserve">Long Term and </w:t>
      </w:r>
      <w:r w:rsidR="00D92926" w:rsidRPr="008569EB">
        <w:rPr>
          <w:rFonts w:cs="Arial"/>
          <w:b/>
        </w:rPr>
        <w:t>No End Date Contracts</w:t>
      </w:r>
    </w:p>
    <w:p w14:paraId="79999071" w14:textId="77777777" w:rsidR="00D92926" w:rsidRPr="008569EB" w:rsidRDefault="00D92926" w:rsidP="00A712F8">
      <w:pPr>
        <w:rPr>
          <w:rFonts w:cs="Arial"/>
        </w:rPr>
      </w:pPr>
    </w:p>
    <w:p w14:paraId="134733CB" w14:textId="1389796B" w:rsidR="00D262AC" w:rsidRPr="008569EB" w:rsidRDefault="005D244C" w:rsidP="00A712F8">
      <w:pPr>
        <w:rPr>
          <w:rFonts w:cs="Arial"/>
          <w:szCs w:val="22"/>
        </w:rPr>
      </w:pPr>
      <w:r>
        <w:rPr>
          <w:rFonts w:cs="Arial"/>
          <w:szCs w:val="22"/>
        </w:rPr>
        <w:t>A</w:t>
      </w:r>
      <w:r w:rsidR="009E5171" w:rsidRPr="008569EB">
        <w:rPr>
          <w:rFonts w:cs="Arial"/>
          <w:szCs w:val="22"/>
        </w:rPr>
        <w:t xml:space="preserve"> handful of contracts end </w:t>
      </w:r>
      <w:r w:rsidR="00BC2230">
        <w:rPr>
          <w:rFonts w:cs="Arial"/>
          <w:szCs w:val="22"/>
        </w:rPr>
        <w:t xml:space="preserve">on </w:t>
      </w:r>
      <w:r w:rsidR="009E5171" w:rsidRPr="008569EB">
        <w:rPr>
          <w:rFonts w:cs="Arial"/>
          <w:szCs w:val="22"/>
        </w:rPr>
        <w:t>02/01/2099. After analysis, most of these contracts fall unde</w:t>
      </w:r>
      <w:r>
        <w:rPr>
          <w:rFonts w:cs="Arial"/>
          <w:szCs w:val="22"/>
        </w:rPr>
        <w:t xml:space="preserve">r </w:t>
      </w:r>
      <w:r w:rsidR="009E5171" w:rsidRPr="008569EB">
        <w:rPr>
          <w:rFonts w:cs="Arial"/>
          <w:szCs w:val="22"/>
        </w:rPr>
        <w:t>the DES Master Contract 08215 “Information Technology Professional Services</w:t>
      </w:r>
      <w:r w:rsidR="00BA3A5B">
        <w:rPr>
          <w:rFonts w:cs="Arial"/>
          <w:szCs w:val="22"/>
        </w:rPr>
        <w:t>.</w:t>
      </w:r>
      <w:r w:rsidR="009E5171" w:rsidRPr="008569EB">
        <w:rPr>
          <w:rFonts w:cs="Arial"/>
          <w:szCs w:val="22"/>
        </w:rPr>
        <w:t xml:space="preserve">” This contract </w:t>
      </w:r>
      <w:r w:rsidR="00E36699">
        <w:rPr>
          <w:rFonts w:cs="Arial"/>
          <w:szCs w:val="22"/>
        </w:rPr>
        <w:t xml:space="preserve">functions </w:t>
      </w:r>
      <w:r w:rsidR="009E5171" w:rsidRPr="008569EB">
        <w:rPr>
          <w:rFonts w:cs="Arial"/>
          <w:szCs w:val="22"/>
        </w:rPr>
        <w:t xml:space="preserve">more </w:t>
      </w:r>
      <w:r w:rsidR="00E36699">
        <w:rPr>
          <w:rFonts w:cs="Arial"/>
          <w:szCs w:val="22"/>
        </w:rPr>
        <w:t xml:space="preserve">as </w:t>
      </w:r>
      <w:r w:rsidR="009E5171" w:rsidRPr="008569EB">
        <w:rPr>
          <w:rFonts w:cs="Arial"/>
          <w:szCs w:val="22"/>
        </w:rPr>
        <w:t xml:space="preserve">a “program” than a </w:t>
      </w:r>
      <w:r w:rsidR="00E36699">
        <w:rPr>
          <w:rFonts w:cs="Arial"/>
          <w:szCs w:val="22"/>
        </w:rPr>
        <w:t xml:space="preserve">typical master </w:t>
      </w:r>
      <w:r w:rsidR="009E5171" w:rsidRPr="008569EB">
        <w:rPr>
          <w:rFonts w:cs="Arial"/>
          <w:szCs w:val="22"/>
        </w:rPr>
        <w:t>contract</w:t>
      </w:r>
      <w:r w:rsidR="00E36699">
        <w:rPr>
          <w:rFonts w:cs="Arial"/>
          <w:szCs w:val="22"/>
        </w:rPr>
        <w:t xml:space="preserve"> with the first tier creating a vendor pool</w:t>
      </w:r>
      <w:r w:rsidR="009E5171" w:rsidRPr="008569EB">
        <w:rPr>
          <w:rFonts w:cs="Arial"/>
          <w:szCs w:val="22"/>
        </w:rPr>
        <w:t xml:space="preserve">. Agencies and </w:t>
      </w:r>
      <w:r w:rsidR="001654F0">
        <w:rPr>
          <w:rFonts w:cs="Arial"/>
          <w:szCs w:val="22"/>
        </w:rPr>
        <w:t>i</w:t>
      </w:r>
      <w:r w:rsidR="009E5171" w:rsidRPr="008569EB">
        <w:rPr>
          <w:rFonts w:cs="Arial"/>
          <w:szCs w:val="22"/>
        </w:rPr>
        <w:t>nstitut</w:t>
      </w:r>
      <w:r w:rsidR="001E1AE7">
        <w:rPr>
          <w:rFonts w:cs="Arial"/>
          <w:szCs w:val="22"/>
        </w:rPr>
        <w:t>ions</w:t>
      </w:r>
      <w:r w:rsidR="009E5171" w:rsidRPr="008569EB">
        <w:rPr>
          <w:rFonts w:cs="Arial"/>
          <w:szCs w:val="22"/>
        </w:rPr>
        <w:t xml:space="preserve"> of </w:t>
      </w:r>
      <w:r w:rsidR="001654F0">
        <w:rPr>
          <w:rFonts w:cs="Arial"/>
          <w:szCs w:val="22"/>
        </w:rPr>
        <w:t>h</w:t>
      </w:r>
      <w:r w:rsidR="009E5171" w:rsidRPr="008569EB">
        <w:rPr>
          <w:rFonts w:cs="Arial"/>
          <w:szCs w:val="22"/>
        </w:rPr>
        <w:t xml:space="preserve">igher </w:t>
      </w:r>
      <w:r w:rsidR="001654F0">
        <w:rPr>
          <w:rFonts w:cs="Arial"/>
          <w:szCs w:val="22"/>
        </w:rPr>
        <w:t>e</w:t>
      </w:r>
      <w:r w:rsidR="009E5171" w:rsidRPr="008569EB">
        <w:rPr>
          <w:rFonts w:cs="Arial"/>
          <w:szCs w:val="22"/>
        </w:rPr>
        <w:t xml:space="preserve">ducation must </w:t>
      </w:r>
      <w:r w:rsidR="00E36699">
        <w:rPr>
          <w:rFonts w:cs="Arial"/>
          <w:szCs w:val="22"/>
        </w:rPr>
        <w:t xml:space="preserve">then </w:t>
      </w:r>
      <w:r w:rsidR="009E5171" w:rsidRPr="008569EB">
        <w:rPr>
          <w:rFonts w:cs="Arial"/>
          <w:szCs w:val="22"/>
        </w:rPr>
        <w:t xml:space="preserve">perform a </w:t>
      </w:r>
      <w:r w:rsidR="00BC2230" w:rsidRPr="008569EB">
        <w:rPr>
          <w:rFonts w:cs="Arial"/>
          <w:szCs w:val="22"/>
        </w:rPr>
        <w:t>second</w:t>
      </w:r>
      <w:r w:rsidR="00BC2230">
        <w:rPr>
          <w:rFonts w:cs="Arial"/>
          <w:szCs w:val="22"/>
        </w:rPr>
        <w:t>-</w:t>
      </w:r>
      <w:r w:rsidR="009E5171" w:rsidRPr="008569EB">
        <w:rPr>
          <w:rFonts w:cs="Arial"/>
          <w:szCs w:val="22"/>
        </w:rPr>
        <w:t xml:space="preserve">tier solicitation and execute their contracts with vendors accepted as a part of this program. End dates for those contracts are most likely </w:t>
      </w:r>
      <w:r w:rsidR="00E33542" w:rsidRPr="008569EB">
        <w:rPr>
          <w:rFonts w:cs="Arial"/>
          <w:szCs w:val="22"/>
        </w:rPr>
        <w:t>shorter-term</w:t>
      </w:r>
      <w:r w:rsidR="009E5171" w:rsidRPr="008569EB">
        <w:rPr>
          <w:rFonts w:cs="Arial"/>
          <w:szCs w:val="22"/>
        </w:rPr>
        <w:t xml:space="preserve"> agreements but agencies were instructed to report their agreements under</w:t>
      </w:r>
      <w:r>
        <w:rPr>
          <w:rFonts w:cs="Arial"/>
          <w:szCs w:val="22"/>
        </w:rPr>
        <w:t xml:space="preserve"> </w:t>
      </w:r>
      <w:r w:rsidR="009E5171" w:rsidRPr="008569EB">
        <w:rPr>
          <w:rFonts w:cs="Arial"/>
          <w:szCs w:val="22"/>
        </w:rPr>
        <w:t xml:space="preserve">the </w:t>
      </w:r>
      <w:r w:rsidR="008C006E">
        <w:rPr>
          <w:rFonts w:cs="Arial"/>
          <w:szCs w:val="22"/>
        </w:rPr>
        <w:t>m</w:t>
      </w:r>
      <w:r w:rsidR="009E5171" w:rsidRPr="008569EB">
        <w:rPr>
          <w:rFonts w:cs="Arial"/>
          <w:szCs w:val="22"/>
        </w:rPr>
        <w:t xml:space="preserve">aster </w:t>
      </w:r>
      <w:r w:rsidR="008C006E">
        <w:rPr>
          <w:rFonts w:cs="Arial"/>
          <w:szCs w:val="22"/>
        </w:rPr>
        <w:t>c</w:t>
      </w:r>
      <w:r w:rsidR="009E5171" w:rsidRPr="008569EB">
        <w:rPr>
          <w:rFonts w:cs="Arial"/>
          <w:szCs w:val="22"/>
        </w:rPr>
        <w:t>ontract, using the Contract Start and Contract Max Term dates as start and end dates.</w:t>
      </w:r>
    </w:p>
    <w:p w14:paraId="2D9AA639" w14:textId="77777777" w:rsidR="00D262AC" w:rsidRPr="008569EB" w:rsidRDefault="00D262AC" w:rsidP="00A712F8">
      <w:pPr>
        <w:rPr>
          <w:rFonts w:cs="Arial"/>
          <w:szCs w:val="22"/>
        </w:rPr>
      </w:pPr>
    </w:p>
    <w:p w14:paraId="5016F23B" w14:textId="07312C0A" w:rsidR="00C828AF" w:rsidRDefault="00751058" w:rsidP="00F20CC3">
      <w:pPr>
        <w:rPr>
          <w:rFonts w:cs="Arial"/>
          <w:b/>
        </w:rPr>
      </w:pPr>
      <w:r w:rsidRPr="008569EB">
        <w:rPr>
          <w:rFonts w:cs="Arial"/>
          <w:szCs w:val="22"/>
        </w:rPr>
        <w:t>No End Date contracts are represented by showing 99/99/999</w:t>
      </w:r>
      <w:r w:rsidR="00BB1292" w:rsidRPr="008569EB">
        <w:rPr>
          <w:rFonts w:cs="Arial"/>
          <w:szCs w:val="22"/>
        </w:rPr>
        <w:t>9</w:t>
      </w:r>
      <w:r w:rsidRPr="008569EB">
        <w:rPr>
          <w:rFonts w:cs="Arial"/>
          <w:szCs w:val="22"/>
        </w:rPr>
        <w:t xml:space="preserve"> in the Contract End Date column. </w:t>
      </w:r>
      <w:r w:rsidR="00456784" w:rsidRPr="00456784">
        <w:rPr>
          <w:rFonts w:cs="Arial"/>
          <w:szCs w:val="22"/>
        </w:rPr>
        <w:lastRenderedPageBreak/>
        <w:t xml:space="preserve">There are </w:t>
      </w:r>
      <w:r w:rsidR="00456784">
        <w:rPr>
          <w:rFonts w:cs="Arial"/>
          <w:szCs w:val="22"/>
        </w:rPr>
        <w:t>29</w:t>
      </w:r>
      <w:r w:rsidR="00456784" w:rsidRPr="00456784">
        <w:rPr>
          <w:rFonts w:cs="Arial"/>
          <w:szCs w:val="22"/>
        </w:rPr>
        <w:t xml:space="preserve"> agencies that have contracts with no end dates and 2</w:t>
      </w:r>
      <w:r w:rsidR="00456784">
        <w:rPr>
          <w:rFonts w:cs="Arial"/>
          <w:szCs w:val="22"/>
        </w:rPr>
        <w:t>96</w:t>
      </w:r>
      <w:r w:rsidR="00456784" w:rsidRPr="00456784">
        <w:rPr>
          <w:rFonts w:cs="Arial"/>
          <w:szCs w:val="22"/>
        </w:rPr>
        <w:t xml:space="preserve"> contract records were reported as having no end date. </w:t>
      </w:r>
      <w:proofErr w:type="gramStart"/>
      <w:r w:rsidR="00456784" w:rsidRPr="00456784">
        <w:rPr>
          <w:rFonts w:cs="Arial"/>
          <w:szCs w:val="22"/>
        </w:rPr>
        <w:t>The majority of</w:t>
      </w:r>
      <w:proofErr w:type="gramEnd"/>
      <w:r w:rsidR="00456784" w:rsidRPr="00456784">
        <w:rPr>
          <w:rFonts w:cs="Arial"/>
          <w:szCs w:val="22"/>
        </w:rPr>
        <w:t xml:space="preserve"> the contracts with no end date fall in the “Applications” IT Tower</w:t>
      </w:r>
      <w:r w:rsidR="00456784">
        <w:rPr>
          <w:rFonts w:cs="Arial"/>
          <w:szCs w:val="22"/>
        </w:rPr>
        <w:t xml:space="preserve">. </w:t>
      </w:r>
      <w:r w:rsidRPr="008569EB">
        <w:rPr>
          <w:rFonts w:cs="Arial"/>
          <w:szCs w:val="22"/>
        </w:rPr>
        <w:t>Included in the report is a “Contract Date Explanation” column where agencies were asked to expla</w:t>
      </w:r>
      <w:r w:rsidR="00E33542">
        <w:rPr>
          <w:rFonts w:cs="Arial"/>
          <w:szCs w:val="22"/>
        </w:rPr>
        <w:t>i</w:t>
      </w:r>
      <w:r w:rsidRPr="008569EB">
        <w:rPr>
          <w:rFonts w:cs="Arial"/>
          <w:szCs w:val="22"/>
        </w:rPr>
        <w:t xml:space="preserve">n why a contract does not have an end date. </w:t>
      </w:r>
    </w:p>
    <w:p w14:paraId="3B72FB11" w14:textId="77777777" w:rsidR="00F20CC3" w:rsidRDefault="00F20CC3" w:rsidP="00A712F8">
      <w:pPr>
        <w:rPr>
          <w:rFonts w:cs="Arial"/>
          <w:b/>
        </w:rPr>
      </w:pPr>
    </w:p>
    <w:p w14:paraId="1B57B3C7" w14:textId="5B6B38E8" w:rsidR="000D008D" w:rsidRPr="008569EB" w:rsidRDefault="000D008D" w:rsidP="00A712F8">
      <w:pPr>
        <w:rPr>
          <w:rFonts w:cs="Arial"/>
          <w:b/>
        </w:rPr>
      </w:pPr>
      <w:r w:rsidRPr="008569EB">
        <w:rPr>
          <w:rFonts w:cs="Arial"/>
          <w:b/>
        </w:rPr>
        <w:t>IT Tower Analysis and Tables</w:t>
      </w:r>
    </w:p>
    <w:p w14:paraId="0E9893D1" w14:textId="77777777" w:rsidR="000D008D" w:rsidRPr="008569EB" w:rsidRDefault="000D008D" w:rsidP="00A712F8">
      <w:pPr>
        <w:rPr>
          <w:rFonts w:cs="Arial"/>
        </w:rPr>
      </w:pPr>
    </w:p>
    <w:p w14:paraId="6394CD77" w14:textId="76F5E3A8" w:rsidR="001F3625" w:rsidRDefault="00D7044F" w:rsidP="00A712F8">
      <w:pPr>
        <w:rPr>
          <w:rFonts w:cs="Arial"/>
          <w:szCs w:val="22"/>
        </w:rPr>
      </w:pPr>
      <w:r w:rsidRPr="000F697B">
        <w:rPr>
          <w:rFonts w:cs="Arial"/>
          <w:szCs w:val="22"/>
        </w:rPr>
        <w:t>The following tables, graphs and charts</w:t>
      </w:r>
      <w:r w:rsidR="00697A04" w:rsidRPr="000F697B">
        <w:rPr>
          <w:rFonts w:cs="Arial"/>
          <w:szCs w:val="22"/>
        </w:rPr>
        <w:t xml:space="preserve"> </w:t>
      </w:r>
      <w:r w:rsidR="005D244C">
        <w:rPr>
          <w:rFonts w:cs="Arial"/>
          <w:szCs w:val="22"/>
        </w:rPr>
        <w:t>examine</w:t>
      </w:r>
      <w:r w:rsidR="00660430" w:rsidRPr="000F697B">
        <w:rPr>
          <w:rFonts w:cs="Arial"/>
          <w:szCs w:val="22"/>
        </w:rPr>
        <w:t xml:space="preserve"> the contract information reported by IT Tower. The types of services are defined by Technology Business Management IT Towers and include:</w:t>
      </w:r>
    </w:p>
    <w:p w14:paraId="522BA98D" w14:textId="77777777" w:rsidR="00C3029D" w:rsidRDefault="00C3029D" w:rsidP="00A712F8">
      <w:pPr>
        <w:rPr>
          <w:rFonts w:cs="Arial"/>
          <w:szCs w:val="22"/>
        </w:rPr>
      </w:pPr>
    </w:p>
    <w:p w14:paraId="0C792ED2" w14:textId="2D2B2646" w:rsidR="001F3625" w:rsidRDefault="00660430" w:rsidP="00C3029D">
      <w:pPr>
        <w:pStyle w:val="ListParagraph"/>
        <w:numPr>
          <w:ilvl w:val="0"/>
          <w:numId w:val="51"/>
        </w:numPr>
        <w:spacing w:after="0"/>
        <w:ind w:left="778"/>
        <w:rPr>
          <w:rFonts w:cs="Arial"/>
          <w:szCs w:val="22"/>
        </w:rPr>
      </w:pPr>
      <w:r w:rsidRPr="001F3625">
        <w:rPr>
          <w:rFonts w:cs="Arial"/>
          <w:szCs w:val="22"/>
        </w:rPr>
        <w:t>Application</w:t>
      </w:r>
      <w:r w:rsidRPr="00C3029D">
        <w:rPr>
          <w:rFonts w:cs="Arial"/>
          <w:szCs w:val="22"/>
        </w:rPr>
        <w:t xml:space="preserve"> </w:t>
      </w:r>
    </w:p>
    <w:p w14:paraId="1FD4E9CC" w14:textId="6B68165B" w:rsidR="001F3625" w:rsidRDefault="00660430" w:rsidP="00C3029D">
      <w:pPr>
        <w:pStyle w:val="ListParagraph"/>
        <w:numPr>
          <w:ilvl w:val="0"/>
          <w:numId w:val="51"/>
        </w:numPr>
        <w:spacing w:after="0"/>
        <w:ind w:left="778"/>
        <w:rPr>
          <w:rFonts w:cs="Arial"/>
          <w:szCs w:val="22"/>
        </w:rPr>
      </w:pPr>
      <w:r w:rsidRPr="001F3625">
        <w:rPr>
          <w:rFonts w:cs="Arial"/>
          <w:szCs w:val="22"/>
        </w:rPr>
        <w:t>Compute</w:t>
      </w:r>
    </w:p>
    <w:p w14:paraId="6B632CFF" w14:textId="132E937A" w:rsidR="001F3625" w:rsidRDefault="00660430" w:rsidP="00C3029D">
      <w:pPr>
        <w:pStyle w:val="ListParagraph"/>
        <w:numPr>
          <w:ilvl w:val="0"/>
          <w:numId w:val="51"/>
        </w:numPr>
        <w:spacing w:after="0"/>
        <w:ind w:left="778"/>
        <w:rPr>
          <w:rFonts w:cs="Arial"/>
          <w:szCs w:val="22"/>
        </w:rPr>
      </w:pPr>
      <w:r w:rsidRPr="001F3625">
        <w:rPr>
          <w:rFonts w:cs="Arial"/>
          <w:szCs w:val="22"/>
        </w:rPr>
        <w:t xml:space="preserve"> Data Center</w:t>
      </w:r>
    </w:p>
    <w:p w14:paraId="7344D280" w14:textId="7CDC70E1" w:rsidR="001F3625" w:rsidRDefault="00660430" w:rsidP="00C3029D">
      <w:pPr>
        <w:pStyle w:val="ListParagraph"/>
        <w:numPr>
          <w:ilvl w:val="0"/>
          <w:numId w:val="51"/>
        </w:numPr>
        <w:spacing w:after="0"/>
        <w:ind w:left="778"/>
        <w:rPr>
          <w:rFonts w:cs="Arial"/>
          <w:szCs w:val="22"/>
        </w:rPr>
      </w:pPr>
      <w:r w:rsidRPr="001F3625">
        <w:rPr>
          <w:rFonts w:cs="Arial"/>
          <w:szCs w:val="22"/>
        </w:rPr>
        <w:t xml:space="preserve"> Delivery</w:t>
      </w:r>
    </w:p>
    <w:p w14:paraId="3BB977F6" w14:textId="2FE36578" w:rsidR="001F3625" w:rsidRDefault="00660430" w:rsidP="00C3029D">
      <w:pPr>
        <w:pStyle w:val="ListParagraph"/>
        <w:numPr>
          <w:ilvl w:val="0"/>
          <w:numId w:val="51"/>
        </w:numPr>
        <w:spacing w:after="0"/>
        <w:ind w:left="778"/>
        <w:rPr>
          <w:rFonts w:cs="Arial"/>
          <w:szCs w:val="22"/>
        </w:rPr>
      </w:pPr>
      <w:r w:rsidRPr="001F3625">
        <w:rPr>
          <w:rFonts w:cs="Arial"/>
          <w:szCs w:val="22"/>
        </w:rPr>
        <w:t xml:space="preserve"> End User</w:t>
      </w:r>
    </w:p>
    <w:p w14:paraId="77D04C89" w14:textId="41B87EA4" w:rsidR="001F3625" w:rsidRDefault="00660430" w:rsidP="00C3029D">
      <w:pPr>
        <w:pStyle w:val="ListParagraph"/>
        <w:numPr>
          <w:ilvl w:val="0"/>
          <w:numId w:val="51"/>
        </w:numPr>
        <w:spacing w:after="0"/>
        <w:ind w:left="778"/>
        <w:rPr>
          <w:rFonts w:cs="Arial"/>
          <w:szCs w:val="22"/>
        </w:rPr>
      </w:pPr>
      <w:r w:rsidRPr="001F3625">
        <w:rPr>
          <w:rFonts w:cs="Arial"/>
          <w:szCs w:val="22"/>
        </w:rPr>
        <w:t xml:space="preserve"> IT Management</w:t>
      </w:r>
    </w:p>
    <w:p w14:paraId="7D264F3D" w14:textId="5DDF2F72" w:rsidR="001F3625" w:rsidRDefault="00660430" w:rsidP="00C3029D">
      <w:pPr>
        <w:pStyle w:val="ListParagraph"/>
        <w:numPr>
          <w:ilvl w:val="0"/>
          <w:numId w:val="51"/>
        </w:numPr>
        <w:spacing w:after="0"/>
        <w:ind w:left="778"/>
        <w:rPr>
          <w:rFonts w:cs="Arial"/>
          <w:szCs w:val="22"/>
        </w:rPr>
      </w:pPr>
      <w:r w:rsidRPr="001F3625">
        <w:rPr>
          <w:rFonts w:cs="Arial"/>
          <w:szCs w:val="22"/>
        </w:rPr>
        <w:t xml:space="preserve"> Network</w:t>
      </w:r>
    </w:p>
    <w:p w14:paraId="39F2E4F1" w14:textId="77777777" w:rsidR="001F3625" w:rsidRDefault="00660430" w:rsidP="00C3029D">
      <w:pPr>
        <w:pStyle w:val="ListParagraph"/>
        <w:numPr>
          <w:ilvl w:val="0"/>
          <w:numId w:val="51"/>
        </w:numPr>
        <w:spacing w:after="0"/>
        <w:ind w:left="778"/>
        <w:rPr>
          <w:rFonts w:cs="Arial"/>
          <w:szCs w:val="22"/>
        </w:rPr>
      </w:pPr>
      <w:r w:rsidRPr="001F3625">
        <w:rPr>
          <w:rFonts w:cs="Arial"/>
          <w:szCs w:val="22"/>
        </w:rPr>
        <w:t xml:space="preserve"> Output</w:t>
      </w:r>
    </w:p>
    <w:p w14:paraId="2CD5414E" w14:textId="724AFEAD" w:rsidR="001F3625" w:rsidRDefault="00660430" w:rsidP="00C3029D">
      <w:pPr>
        <w:pStyle w:val="ListParagraph"/>
        <w:numPr>
          <w:ilvl w:val="0"/>
          <w:numId w:val="51"/>
        </w:numPr>
        <w:spacing w:after="0"/>
        <w:ind w:left="778"/>
        <w:rPr>
          <w:rFonts w:cs="Arial"/>
          <w:szCs w:val="22"/>
        </w:rPr>
      </w:pPr>
      <w:r w:rsidRPr="001F3625">
        <w:rPr>
          <w:rFonts w:cs="Arial"/>
          <w:szCs w:val="22"/>
        </w:rPr>
        <w:t xml:space="preserve"> Platform</w:t>
      </w:r>
    </w:p>
    <w:p w14:paraId="3A0F24B8" w14:textId="421939F2" w:rsidR="001F3625" w:rsidRDefault="00660430" w:rsidP="00C3029D">
      <w:pPr>
        <w:pStyle w:val="ListParagraph"/>
        <w:numPr>
          <w:ilvl w:val="0"/>
          <w:numId w:val="51"/>
        </w:numPr>
        <w:spacing w:after="0"/>
        <w:ind w:left="778"/>
        <w:rPr>
          <w:rFonts w:cs="Arial"/>
          <w:szCs w:val="22"/>
        </w:rPr>
      </w:pPr>
      <w:r w:rsidRPr="001F3625">
        <w:rPr>
          <w:rFonts w:cs="Arial"/>
          <w:szCs w:val="22"/>
        </w:rPr>
        <w:t xml:space="preserve"> Security</w:t>
      </w:r>
    </w:p>
    <w:p w14:paraId="429D89F2" w14:textId="5CD0BF92" w:rsidR="001F3625" w:rsidRDefault="00660430" w:rsidP="00C3029D">
      <w:pPr>
        <w:pStyle w:val="ListParagraph"/>
        <w:numPr>
          <w:ilvl w:val="0"/>
          <w:numId w:val="51"/>
        </w:numPr>
        <w:spacing w:after="0"/>
        <w:ind w:left="778"/>
        <w:rPr>
          <w:rFonts w:cs="Arial"/>
          <w:szCs w:val="22"/>
        </w:rPr>
      </w:pPr>
      <w:r w:rsidRPr="001F3625">
        <w:rPr>
          <w:rFonts w:cs="Arial"/>
          <w:szCs w:val="22"/>
        </w:rPr>
        <w:t xml:space="preserve"> Storage</w:t>
      </w:r>
    </w:p>
    <w:p w14:paraId="2A81546B" w14:textId="70147A6F" w:rsidR="001F3625" w:rsidRDefault="001F3625" w:rsidP="00C3029D">
      <w:pPr>
        <w:pStyle w:val="ListParagraph"/>
        <w:numPr>
          <w:ilvl w:val="0"/>
          <w:numId w:val="51"/>
        </w:numPr>
        <w:spacing w:after="0"/>
        <w:ind w:left="778"/>
        <w:rPr>
          <w:rFonts w:cs="Arial"/>
          <w:szCs w:val="22"/>
        </w:rPr>
      </w:pPr>
      <w:r>
        <w:rPr>
          <w:rFonts w:cs="Arial"/>
          <w:szCs w:val="22"/>
        </w:rPr>
        <w:t xml:space="preserve">An </w:t>
      </w:r>
      <w:r w:rsidR="00660430" w:rsidRPr="001F3625">
        <w:rPr>
          <w:rFonts w:cs="Arial"/>
          <w:szCs w:val="22"/>
        </w:rPr>
        <w:t>option for Non-IT/Other for agencies to utilize.</w:t>
      </w:r>
      <w:r w:rsidR="00B3662E" w:rsidRPr="001F3625">
        <w:rPr>
          <w:rFonts w:cs="Arial"/>
          <w:szCs w:val="22"/>
        </w:rPr>
        <w:t xml:space="preserve"> </w:t>
      </w:r>
    </w:p>
    <w:p w14:paraId="5CA9E9F6" w14:textId="77777777" w:rsidR="00C3029D" w:rsidRPr="005742FB" w:rsidRDefault="00C3029D" w:rsidP="00C3029D">
      <w:pPr>
        <w:pStyle w:val="ListParagraph"/>
        <w:numPr>
          <w:ilvl w:val="0"/>
          <w:numId w:val="0"/>
        </w:numPr>
        <w:spacing w:after="0"/>
        <w:ind w:left="778"/>
        <w:rPr>
          <w:rFonts w:cs="Arial"/>
          <w:szCs w:val="22"/>
        </w:rPr>
      </w:pPr>
    </w:p>
    <w:p w14:paraId="0E6B6716" w14:textId="37E0148E" w:rsidR="000D008D" w:rsidRPr="005742FB" w:rsidRDefault="005D244C" w:rsidP="001F3625">
      <w:pPr>
        <w:rPr>
          <w:rFonts w:cs="Arial"/>
          <w:szCs w:val="22"/>
        </w:rPr>
      </w:pPr>
      <w:r w:rsidRPr="001F3625">
        <w:rPr>
          <w:rFonts w:cs="Arial"/>
          <w:szCs w:val="22"/>
        </w:rPr>
        <w:t>Like</w:t>
      </w:r>
      <w:r w:rsidR="00B3662E" w:rsidRPr="001F3625">
        <w:rPr>
          <w:rFonts w:cs="Arial"/>
          <w:szCs w:val="22"/>
        </w:rPr>
        <w:t xml:space="preserve"> the previous tables, these charts and tables are missing data for those agencies tha</w:t>
      </w:r>
      <w:r w:rsidR="00CE652B" w:rsidRPr="001F3625">
        <w:rPr>
          <w:rFonts w:cs="Arial"/>
          <w:szCs w:val="22"/>
        </w:rPr>
        <w:t>t have not yet reported for 2021</w:t>
      </w:r>
      <w:r w:rsidR="00B3662E" w:rsidRPr="005742FB">
        <w:rPr>
          <w:rFonts w:cs="Arial"/>
          <w:szCs w:val="22"/>
        </w:rPr>
        <w:t>.</w:t>
      </w:r>
    </w:p>
    <w:p w14:paraId="6E46097A" w14:textId="77777777" w:rsidR="0069181B" w:rsidRDefault="0069181B" w:rsidP="00A712F8">
      <w:pPr>
        <w:rPr>
          <w:rFonts w:cs="Arial"/>
          <w:szCs w:val="22"/>
        </w:rPr>
      </w:pPr>
    </w:p>
    <w:tbl>
      <w:tblPr>
        <w:tblW w:w="5323" w:type="pct"/>
        <w:tblLook w:val="04A0" w:firstRow="1" w:lastRow="0" w:firstColumn="1" w:lastColumn="0" w:noHBand="0" w:noVBand="1"/>
      </w:tblPr>
      <w:tblGrid>
        <w:gridCol w:w="1757"/>
        <w:gridCol w:w="2335"/>
        <w:gridCol w:w="2274"/>
        <w:gridCol w:w="1830"/>
        <w:gridCol w:w="1769"/>
      </w:tblGrid>
      <w:tr w:rsidR="0069181B" w:rsidRPr="0069181B" w14:paraId="50475613" w14:textId="77777777" w:rsidTr="003E58F8">
        <w:trPr>
          <w:trHeight w:val="285"/>
        </w:trPr>
        <w:tc>
          <w:tcPr>
            <w:tcW w:w="882" w:type="pct"/>
            <w:tcBorders>
              <w:top w:val="nil"/>
              <w:left w:val="nil"/>
              <w:bottom w:val="single" w:sz="12" w:space="0" w:color="FFFFFF"/>
              <w:right w:val="single" w:sz="4" w:space="0" w:color="FFFFFF"/>
            </w:tcBorders>
            <w:shd w:val="clear" w:color="4F81BD" w:fill="4F81BD"/>
            <w:noWrap/>
            <w:vAlign w:val="bottom"/>
            <w:hideMark/>
          </w:tcPr>
          <w:p w14:paraId="18E40B54" w14:textId="77777777" w:rsidR="0069181B" w:rsidRPr="0069181B" w:rsidRDefault="0069181B" w:rsidP="0069181B">
            <w:pPr>
              <w:widowControl/>
              <w:autoSpaceDE/>
              <w:autoSpaceDN/>
              <w:adjustRightInd/>
              <w:rPr>
                <w:rFonts w:eastAsia="Times New Roman" w:cs="Arial"/>
                <w:b/>
                <w:bCs/>
                <w:color w:val="FFFFFF"/>
                <w:szCs w:val="22"/>
              </w:rPr>
            </w:pPr>
            <w:r w:rsidRPr="0069181B">
              <w:rPr>
                <w:rFonts w:eastAsia="Times New Roman" w:cs="Arial"/>
                <w:b/>
                <w:bCs/>
                <w:color w:val="FFFFFF"/>
                <w:szCs w:val="22"/>
              </w:rPr>
              <w:t>IT Tower</w:t>
            </w:r>
          </w:p>
        </w:tc>
        <w:tc>
          <w:tcPr>
            <w:tcW w:w="1172" w:type="pct"/>
            <w:tcBorders>
              <w:top w:val="nil"/>
              <w:left w:val="single" w:sz="4" w:space="0" w:color="FFFFFF"/>
              <w:bottom w:val="single" w:sz="12" w:space="0" w:color="FFFFFF"/>
              <w:right w:val="single" w:sz="4" w:space="0" w:color="FFFFFF"/>
            </w:tcBorders>
            <w:shd w:val="clear" w:color="4F81BD" w:fill="4F81BD"/>
            <w:noWrap/>
            <w:vAlign w:val="bottom"/>
            <w:hideMark/>
          </w:tcPr>
          <w:p w14:paraId="7F9358A6" w14:textId="77777777" w:rsidR="0069181B" w:rsidRPr="0069181B" w:rsidRDefault="0069181B" w:rsidP="003E58F8">
            <w:pPr>
              <w:widowControl/>
              <w:autoSpaceDE/>
              <w:autoSpaceDN/>
              <w:adjustRightInd/>
              <w:jc w:val="center"/>
              <w:rPr>
                <w:rFonts w:eastAsia="Times New Roman" w:cs="Arial"/>
                <w:b/>
                <w:bCs/>
                <w:color w:val="FFFFFF"/>
                <w:szCs w:val="22"/>
              </w:rPr>
            </w:pPr>
            <w:r w:rsidRPr="0069181B">
              <w:rPr>
                <w:rFonts w:eastAsia="Times New Roman" w:cs="Arial"/>
                <w:b/>
                <w:bCs/>
                <w:color w:val="FFFFFF"/>
                <w:szCs w:val="22"/>
              </w:rPr>
              <w:t>Total Spend All FY's</w:t>
            </w:r>
          </w:p>
        </w:tc>
        <w:tc>
          <w:tcPr>
            <w:tcW w:w="1141" w:type="pct"/>
            <w:tcBorders>
              <w:top w:val="nil"/>
              <w:left w:val="single" w:sz="4" w:space="0" w:color="FFFFFF"/>
              <w:bottom w:val="single" w:sz="12" w:space="0" w:color="FFFFFF"/>
              <w:right w:val="single" w:sz="4" w:space="0" w:color="FFFFFF"/>
            </w:tcBorders>
            <w:shd w:val="clear" w:color="4F81BD" w:fill="4F81BD"/>
            <w:noWrap/>
            <w:vAlign w:val="bottom"/>
            <w:hideMark/>
          </w:tcPr>
          <w:p w14:paraId="52BCCEEA" w14:textId="77777777" w:rsidR="0069181B" w:rsidRPr="0069181B" w:rsidRDefault="0069181B" w:rsidP="003E58F8">
            <w:pPr>
              <w:widowControl/>
              <w:autoSpaceDE/>
              <w:autoSpaceDN/>
              <w:adjustRightInd/>
              <w:jc w:val="center"/>
              <w:rPr>
                <w:rFonts w:eastAsia="Times New Roman" w:cs="Arial"/>
                <w:b/>
                <w:bCs/>
                <w:color w:val="FFFFFF"/>
                <w:szCs w:val="22"/>
              </w:rPr>
            </w:pPr>
            <w:r w:rsidRPr="0069181B">
              <w:rPr>
                <w:rFonts w:eastAsia="Times New Roman" w:cs="Arial"/>
                <w:b/>
                <w:bCs/>
                <w:color w:val="FFFFFF"/>
                <w:szCs w:val="22"/>
              </w:rPr>
              <w:t xml:space="preserve">% </w:t>
            </w:r>
            <w:proofErr w:type="gramStart"/>
            <w:r w:rsidRPr="0069181B">
              <w:rPr>
                <w:rFonts w:eastAsia="Times New Roman" w:cs="Arial"/>
                <w:b/>
                <w:bCs/>
                <w:color w:val="FFFFFF"/>
                <w:szCs w:val="22"/>
              </w:rPr>
              <w:t>of</w:t>
            </w:r>
            <w:proofErr w:type="gramEnd"/>
            <w:r w:rsidRPr="0069181B">
              <w:rPr>
                <w:rFonts w:eastAsia="Times New Roman" w:cs="Arial"/>
                <w:b/>
                <w:bCs/>
                <w:color w:val="FFFFFF"/>
                <w:szCs w:val="22"/>
              </w:rPr>
              <w:t xml:space="preserve"> Spend All FY's</w:t>
            </w:r>
          </w:p>
        </w:tc>
        <w:tc>
          <w:tcPr>
            <w:tcW w:w="918" w:type="pct"/>
            <w:tcBorders>
              <w:top w:val="nil"/>
              <w:left w:val="single" w:sz="4" w:space="0" w:color="FFFFFF"/>
              <w:bottom w:val="single" w:sz="12" w:space="0" w:color="FFFFFF"/>
              <w:right w:val="single" w:sz="4" w:space="0" w:color="FFFFFF"/>
            </w:tcBorders>
            <w:shd w:val="clear" w:color="4F81BD" w:fill="4F81BD"/>
            <w:noWrap/>
            <w:vAlign w:val="bottom"/>
            <w:hideMark/>
          </w:tcPr>
          <w:p w14:paraId="305AD587" w14:textId="77777777" w:rsidR="0069181B" w:rsidRPr="0069181B" w:rsidRDefault="0069181B" w:rsidP="003E58F8">
            <w:pPr>
              <w:widowControl/>
              <w:autoSpaceDE/>
              <w:autoSpaceDN/>
              <w:adjustRightInd/>
              <w:jc w:val="center"/>
              <w:rPr>
                <w:rFonts w:eastAsia="Times New Roman" w:cs="Arial"/>
                <w:b/>
                <w:bCs/>
                <w:color w:val="FFFFFF"/>
                <w:szCs w:val="22"/>
              </w:rPr>
            </w:pPr>
            <w:r w:rsidRPr="0069181B">
              <w:rPr>
                <w:rFonts w:eastAsia="Times New Roman" w:cs="Arial"/>
                <w:b/>
                <w:bCs/>
                <w:color w:val="FFFFFF"/>
                <w:szCs w:val="22"/>
              </w:rPr>
              <w:t>Total Contracts</w:t>
            </w:r>
          </w:p>
        </w:tc>
        <w:tc>
          <w:tcPr>
            <w:tcW w:w="888" w:type="pct"/>
            <w:tcBorders>
              <w:top w:val="nil"/>
              <w:left w:val="single" w:sz="4" w:space="0" w:color="FFFFFF"/>
              <w:bottom w:val="single" w:sz="12" w:space="0" w:color="FFFFFF"/>
              <w:right w:val="nil"/>
            </w:tcBorders>
            <w:shd w:val="clear" w:color="4F81BD" w:fill="4F81BD"/>
            <w:noWrap/>
            <w:vAlign w:val="bottom"/>
            <w:hideMark/>
          </w:tcPr>
          <w:p w14:paraId="27BE72D0" w14:textId="77777777" w:rsidR="0069181B" w:rsidRPr="0069181B" w:rsidRDefault="0069181B" w:rsidP="003E58F8">
            <w:pPr>
              <w:widowControl/>
              <w:autoSpaceDE/>
              <w:autoSpaceDN/>
              <w:adjustRightInd/>
              <w:jc w:val="center"/>
              <w:rPr>
                <w:rFonts w:eastAsia="Times New Roman" w:cs="Arial"/>
                <w:b/>
                <w:bCs/>
                <w:color w:val="FFFFFF"/>
                <w:szCs w:val="22"/>
              </w:rPr>
            </w:pPr>
            <w:r w:rsidRPr="0069181B">
              <w:rPr>
                <w:rFonts w:eastAsia="Times New Roman" w:cs="Arial"/>
                <w:b/>
                <w:bCs/>
                <w:color w:val="FFFFFF"/>
                <w:szCs w:val="22"/>
              </w:rPr>
              <w:t xml:space="preserve">% </w:t>
            </w:r>
            <w:proofErr w:type="gramStart"/>
            <w:r w:rsidRPr="0069181B">
              <w:rPr>
                <w:rFonts w:eastAsia="Times New Roman" w:cs="Arial"/>
                <w:b/>
                <w:bCs/>
                <w:color w:val="FFFFFF"/>
                <w:szCs w:val="22"/>
              </w:rPr>
              <w:t>of</w:t>
            </w:r>
            <w:proofErr w:type="gramEnd"/>
            <w:r w:rsidRPr="0069181B">
              <w:rPr>
                <w:rFonts w:eastAsia="Times New Roman" w:cs="Arial"/>
                <w:b/>
                <w:bCs/>
                <w:color w:val="FFFFFF"/>
                <w:szCs w:val="22"/>
              </w:rPr>
              <w:t xml:space="preserve"> Contracts</w:t>
            </w:r>
          </w:p>
        </w:tc>
      </w:tr>
      <w:tr w:rsidR="006828C4" w:rsidRPr="0069181B" w14:paraId="006DFC2E" w14:textId="77777777" w:rsidTr="003E58F8">
        <w:trPr>
          <w:trHeight w:val="285"/>
        </w:trPr>
        <w:tc>
          <w:tcPr>
            <w:tcW w:w="882" w:type="pct"/>
            <w:tcBorders>
              <w:top w:val="single" w:sz="4" w:space="0" w:color="FFFFFF"/>
              <w:left w:val="nil"/>
              <w:bottom w:val="single" w:sz="4" w:space="0" w:color="FFFFFF"/>
              <w:right w:val="single" w:sz="4" w:space="0" w:color="FFFFFF"/>
            </w:tcBorders>
            <w:shd w:val="clear" w:color="B8CCE4" w:fill="B8CCE4"/>
            <w:noWrap/>
            <w:vAlign w:val="bottom"/>
            <w:hideMark/>
          </w:tcPr>
          <w:p w14:paraId="5BBDFFCD" w14:textId="70076D51" w:rsidR="006828C4" w:rsidRPr="0069181B" w:rsidRDefault="006828C4" w:rsidP="006828C4">
            <w:pPr>
              <w:widowControl/>
              <w:autoSpaceDE/>
              <w:autoSpaceDN/>
              <w:adjustRightInd/>
              <w:rPr>
                <w:rFonts w:eastAsia="Times New Roman" w:cs="Arial"/>
                <w:color w:val="000000"/>
                <w:szCs w:val="22"/>
              </w:rPr>
            </w:pPr>
            <w:r>
              <w:rPr>
                <w:rFonts w:cs="Arial"/>
                <w:color w:val="000000"/>
                <w:szCs w:val="22"/>
              </w:rPr>
              <w:t>Application</w:t>
            </w:r>
          </w:p>
        </w:tc>
        <w:tc>
          <w:tcPr>
            <w:tcW w:w="1172" w:type="pct"/>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30B40B4" w14:textId="72534368"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    2,602,447,618 </w:t>
            </w:r>
          </w:p>
        </w:tc>
        <w:tc>
          <w:tcPr>
            <w:tcW w:w="1141" w:type="pct"/>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1BDFC15" w14:textId="687894AC"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38%</w:t>
            </w:r>
          </w:p>
        </w:tc>
        <w:tc>
          <w:tcPr>
            <w:tcW w:w="918" w:type="pct"/>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07C5811" w14:textId="2FB9E8D2"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3,295 </w:t>
            </w:r>
          </w:p>
        </w:tc>
        <w:tc>
          <w:tcPr>
            <w:tcW w:w="888" w:type="pct"/>
            <w:tcBorders>
              <w:top w:val="single" w:sz="4" w:space="0" w:color="FFFFFF"/>
              <w:left w:val="single" w:sz="4" w:space="0" w:color="FFFFFF"/>
              <w:bottom w:val="single" w:sz="4" w:space="0" w:color="FFFFFF"/>
              <w:right w:val="nil"/>
            </w:tcBorders>
            <w:shd w:val="clear" w:color="B8CCE4" w:fill="B8CCE4"/>
            <w:noWrap/>
            <w:vAlign w:val="bottom"/>
            <w:hideMark/>
          </w:tcPr>
          <w:p w14:paraId="6D4B64FC" w14:textId="5D57CF86"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22%</w:t>
            </w:r>
          </w:p>
        </w:tc>
      </w:tr>
      <w:tr w:rsidR="006828C4" w:rsidRPr="0069181B" w14:paraId="4C96B022" w14:textId="77777777" w:rsidTr="003E58F8">
        <w:trPr>
          <w:trHeight w:val="285"/>
        </w:trPr>
        <w:tc>
          <w:tcPr>
            <w:tcW w:w="882" w:type="pct"/>
            <w:tcBorders>
              <w:top w:val="single" w:sz="4" w:space="0" w:color="FFFFFF"/>
              <w:left w:val="nil"/>
              <w:bottom w:val="single" w:sz="4" w:space="0" w:color="FFFFFF"/>
              <w:right w:val="single" w:sz="4" w:space="0" w:color="FFFFFF"/>
            </w:tcBorders>
            <w:shd w:val="clear" w:color="DCE6F1" w:fill="DCE6F1"/>
            <w:noWrap/>
            <w:vAlign w:val="bottom"/>
            <w:hideMark/>
          </w:tcPr>
          <w:p w14:paraId="16702217" w14:textId="6AE75DB0" w:rsidR="006828C4" w:rsidRPr="0069181B" w:rsidRDefault="006828C4" w:rsidP="006828C4">
            <w:pPr>
              <w:widowControl/>
              <w:autoSpaceDE/>
              <w:autoSpaceDN/>
              <w:adjustRightInd/>
              <w:rPr>
                <w:rFonts w:eastAsia="Times New Roman" w:cs="Arial"/>
                <w:color w:val="000000"/>
                <w:szCs w:val="22"/>
              </w:rPr>
            </w:pPr>
            <w:r>
              <w:rPr>
                <w:rFonts w:cs="Arial"/>
                <w:color w:val="000000"/>
                <w:szCs w:val="22"/>
              </w:rPr>
              <w:t>Compute</w:t>
            </w:r>
          </w:p>
        </w:tc>
        <w:tc>
          <w:tcPr>
            <w:tcW w:w="1172" w:type="pct"/>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6D89ABB" w14:textId="72E59C57"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       321,528,425 </w:t>
            </w:r>
          </w:p>
        </w:tc>
        <w:tc>
          <w:tcPr>
            <w:tcW w:w="1141" w:type="pct"/>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EB4DD20" w14:textId="6D1D5288"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5%</w:t>
            </w:r>
          </w:p>
        </w:tc>
        <w:tc>
          <w:tcPr>
            <w:tcW w:w="918" w:type="pct"/>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B93E70C" w14:textId="66A1FACD"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1,340 </w:t>
            </w:r>
          </w:p>
        </w:tc>
        <w:tc>
          <w:tcPr>
            <w:tcW w:w="888" w:type="pct"/>
            <w:tcBorders>
              <w:top w:val="single" w:sz="4" w:space="0" w:color="FFFFFF"/>
              <w:left w:val="single" w:sz="4" w:space="0" w:color="FFFFFF"/>
              <w:bottom w:val="single" w:sz="4" w:space="0" w:color="FFFFFF"/>
              <w:right w:val="nil"/>
            </w:tcBorders>
            <w:shd w:val="clear" w:color="DCE6F1" w:fill="DCE6F1"/>
            <w:noWrap/>
            <w:vAlign w:val="bottom"/>
            <w:hideMark/>
          </w:tcPr>
          <w:p w14:paraId="141389B5" w14:textId="257A1EA8"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9%</w:t>
            </w:r>
          </w:p>
        </w:tc>
      </w:tr>
      <w:tr w:rsidR="006828C4" w:rsidRPr="0069181B" w14:paraId="7BBA4747" w14:textId="77777777" w:rsidTr="003E58F8">
        <w:trPr>
          <w:trHeight w:val="285"/>
        </w:trPr>
        <w:tc>
          <w:tcPr>
            <w:tcW w:w="882" w:type="pct"/>
            <w:tcBorders>
              <w:top w:val="single" w:sz="4" w:space="0" w:color="FFFFFF"/>
              <w:left w:val="nil"/>
              <w:bottom w:val="single" w:sz="4" w:space="0" w:color="FFFFFF"/>
              <w:right w:val="single" w:sz="4" w:space="0" w:color="FFFFFF"/>
            </w:tcBorders>
            <w:shd w:val="clear" w:color="B8CCE4" w:fill="B8CCE4"/>
            <w:noWrap/>
            <w:vAlign w:val="bottom"/>
            <w:hideMark/>
          </w:tcPr>
          <w:p w14:paraId="4BEFD7DA" w14:textId="0E46F99C" w:rsidR="006828C4" w:rsidRPr="0069181B" w:rsidRDefault="006828C4" w:rsidP="006828C4">
            <w:pPr>
              <w:widowControl/>
              <w:autoSpaceDE/>
              <w:autoSpaceDN/>
              <w:adjustRightInd/>
              <w:rPr>
                <w:rFonts w:eastAsia="Times New Roman" w:cs="Arial"/>
                <w:color w:val="000000"/>
                <w:szCs w:val="22"/>
              </w:rPr>
            </w:pPr>
            <w:r>
              <w:rPr>
                <w:rFonts w:cs="Arial"/>
                <w:color w:val="000000"/>
                <w:szCs w:val="22"/>
              </w:rPr>
              <w:t>Data Center</w:t>
            </w:r>
          </w:p>
        </w:tc>
        <w:tc>
          <w:tcPr>
            <w:tcW w:w="1172" w:type="pct"/>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B389552" w14:textId="3435CE2B"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       657,053,890 </w:t>
            </w:r>
          </w:p>
        </w:tc>
        <w:tc>
          <w:tcPr>
            <w:tcW w:w="1141" w:type="pct"/>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4C53D6F" w14:textId="35F3D06C"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10%</w:t>
            </w:r>
          </w:p>
        </w:tc>
        <w:tc>
          <w:tcPr>
            <w:tcW w:w="918" w:type="pct"/>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DD2B294" w14:textId="4F0D554D"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879 </w:t>
            </w:r>
          </w:p>
        </w:tc>
        <w:tc>
          <w:tcPr>
            <w:tcW w:w="888" w:type="pct"/>
            <w:tcBorders>
              <w:top w:val="single" w:sz="4" w:space="0" w:color="FFFFFF"/>
              <w:left w:val="single" w:sz="4" w:space="0" w:color="FFFFFF"/>
              <w:bottom w:val="single" w:sz="4" w:space="0" w:color="FFFFFF"/>
              <w:right w:val="nil"/>
            </w:tcBorders>
            <w:shd w:val="clear" w:color="B8CCE4" w:fill="B8CCE4"/>
            <w:noWrap/>
            <w:vAlign w:val="bottom"/>
            <w:hideMark/>
          </w:tcPr>
          <w:p w14:paraId="071996C9" w14:textId="66266EE8"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6%</w:t>
            </w:r>
          </w:p>
        </w:tc>
      </w:tr>
      <w:tr w:rsidR="006828C4" w:rsidRPr="0069181B" w14:paraId="0C0F9906" w14:textId="77777777" w:rsidTr="003E58F8">
        <w:trPr>
          <w:trHeight w:val="285"/>
        </w:trPr>
        <w:tc>
          <w:tcPr>
            <w:tcW w:w="882" w:type="pct"/>
            <w:tcBorders>
              <w:top w:val="single" w:sz="4" w:space="0" w:color="FFFFFF"/>
              <w:left w:val="nil"/>
              <w:bottom w:val="single" w:sz="4" w:space="0" w:color="FFFFFF"/>
              <w:right w:val="single" w:sz="4" w:space="0" w:color="FFFFFF"/>
            </w:tcBorders>
            <w:shd w:val="clear" w:color="DCE6F1" w:fill="DCE6F1"/>
            <w:noWrap/>
            <w:vAlign w:val="bottom"/>
            <w:hideMark/>
          </w:tcPr>
          <w:p w14:paraId="344D59B7" w14:textId="3284B750" w:rsidR="006828C4" w:rsidRPr="0069181B" w:rsidRDefault="006828C4" w:rsidP="006828C4">
            <w:pPr>
              <w:widowControl/>
              <w:autoSpaceDE/>
              <w:autoSpaceDN/>
              <w:adjustRightInd/>
              <w:rPr>
                <w:rFonts w:eastAsia="Times New Roman" w:cs="Arial"/>
                <w:color w:val="000000"/>
                <w:szCs w:val="22"/>
              </w:rPr>
            </w:pPr>
            <w:r>
              <w:rPr>
                <w:rFonts w:cs="Arial"/>
                <w:color w:val="000000"/>
                <w:szCs w:val="22"/>
              </w:rPr>
              <w:t>Delivery</w:t>
            </w:r>
          </w:p>
        </w:tc>
        <w:tc>
          <w:tcPr>
            <w:tcW w:w="1172" w:type="pct"/>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677A31D" w14:textId="5130DDA0"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       624,175,675 </w:t>
            </w:r>
          </w:p>
        </w:tc>
        <w:tc>
          <w:tcPr>
            <w:tcW w:w="1141" w:type="pct"/>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6B95D04" w14:textId="238ACB7E"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9%</w:t>
            </w:r>
          </w:p>
        </w:tc>
        <w:tc>
          <w:tcPr>
            <w:tcW w:w="918" w:type="pct"/>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0320EE4" w14:textId="7CA2549B"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1,435 </w:t>
            </w:r>
          </w:p>
        </w:tc>
        <w:tc>
          <w:tcPr>
            <w:tcW w:w="888" w:type="pct"/>
            <w:tcBorders>
              <w:top w:val="single" w:sz="4" w:space="0" w:color="FFFFFF"/>
              <w:left w:val="single" w:sz="4" w:space="0" w:color="FFFFFF"/>
              <w:bottom w:val="single" w:sz="4" w:space="0" w:color="FFFFFF"/>
              <w:right w:val="nil"/>
            </w:tcBorders>
            <w:shd w:val="clear" w:color="DCE6F1" w:fill="DCE6F1"/>
            <w:noWrap/>
            <w:vAlign w:val="bottom"/>
            <w:hideMark/>
          </w:tcPr>
          <w:p w14:paraId="6B71E949" w14:textId="362CC70C"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9%</w:t>
            </w:r>
          </w:p>
        </w:tc>
      </w:tr>
      <w:tr w:rsidR="006828C4" w:rsidRPr="0069181B" w14:paraId="28134104" w14:textId="77777777" w:rsidTr="003E58F8">
        <w:trPr>
          <w:trHeight w:val="285"/>
        </w:trPr>
        <w:tc>
          <w:tcPr>
            <w:tcW w:w="882" w:type="pct"/>
            <w:tcBorders>
              <w:top w:val="single" w:sz="4" w:space="0" w:color="FFFFFF"/>
              <w:left w:val="nil"/>
              <w:bottom w:val="single" w:sz="4" w:space="0" w:color="FFFFFF"/>
              <w:right w:val="single" w:sz="4" w:space="0" w:color="FFFFFF"/>
            </w:tcBorders>
            <w:shd w:val="clear" w:color="B8CCE4" w:fill="B8CCE4"/>
            <w:noWrap/>
            <w:vAlign w:val="bottom"/>
            <w:hideMark/>
          </w:tcPr>
          <w:p w14:paraId="4D6E2643" w14:textId="2A94606E" w:rsidR="006828C4" w:rsidRPr="0069181B" w:rsidRDefault="006828C4" w:rsidP="006828C4">
            <w:pPr>
              <w:widowControl/>
              <w:autoSpaceDE/>
              <w:autoSpaceDN/>
              <w:adjustRightInd/>
              <w:rPr>
                <w:rFonts w:eastAsia="Times New Roman" w:cs="Arial"/>
                <w:color w:val="000000"/>
                <w:szCs w:val="22"/>
              </w:rPr>
            </w:pPr>
            <w:r>
              <w:rPr>
                <w:rFonts w:cs="Arial"/>
                <w:color w:val="000000"/>
                <w:szCs w:val="22"/>
              </w:rPr>
              <w:t>End User</w:t>
            </w:r>
          </w:p>
        </w:tc>
        <w:tc>
          <w:tcPr>
            <w:tcW w:w="1172" w:type="pct"/>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5BEC331" w14:textId="6497FBC5"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       959,945,322 </w:t>
            </w:r>
          </w:p>
        </w:tc>
        <w:tc>
          <w:tcPr>
            <w:tcW w:w="1141" w:type="pct"/>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252E306" w14:textId="3A6BA45D"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14%</w:t>
            </w:r>
          </w:p>
        </w:tc>
        <w:tc>
          <w:tcPr>
            <w:tcW w:w="918" w:type="pct"/>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0DC4E2C" w14:textId="21280AF8"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2,717 </w:t>
            </w:r>
          </w:p>
        </w:tc>
        <w:tc>
          <w:tcPr>
            <w:tcW w:w="888" w:type="pct"/>
            <w:tcBorders>
              <w:top w:val="single" w:sz="4" w:space="0" w:color="FFFFFF"/>
              <w:left w:val="single" w:sz="4" w:space="0" w:color="FFFFFF"/>
              <w:bottom w:val="single" w:sz="4" w:space="0" w:color="FFFFFF"/>
              <w:right w:val="nil"/>
            </w:tcBorders>
            <w:shd w:val="clear" w:color="B8CCE4" w:fill="B8CCE4"/>
            <w:noWrap/>
            <w:vAlign w:val="bottom"/>
            <w:hideMark/>
          </w:tcPr>
          <w:p w14:paraId="2EAFC487" w14:textId="759CDF22"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18%</w:t>
            </w:r>
          </w:p>
        </w:tc>
      </w:tr>
      <w:tr w:rsidR="006828C4" w:rsidRPr="0069181B" w14:paraId="3AD9B5D7" w14:textId="77777777" w:rsidTr="003E58F8">
        <w:trPr>
          <w:trHeight w:val="285"/>
        </w:trPr>
        <w:tc>
          <w:tcPr>
            <w:tcW w:w="882" w:type="pct"/>
            <w:tcBorders>
              <w:top w:val="single" w:sz="4" w:space="0" w:color="FFFFFF"/>
              <w:left w:val="nil"/>
              <w:bottom w:val="single" w:sz="4" w:space="0" w:color="FFFFFF"/>
              <w:right w:val="single" w:sz="4" w:space="0" w:color="FFFFFF"/>
            </w:tcBorders>
            <w:shd w:val="clear" w:color="DCE6F1" w:fill="DCE6F1"/>
            <w:noWrap/>
            <w:vAlign w:val="bottom"/>
            <w:hideMark/>
          </w:tcPr>
          <w:p w14:paraId="05B2055B" w14:textId="2818FF19" w:rsidR="006828C4" w:rsidRPr="0069181B" w:rsidRDefault="006828C4" w:rsidP="006828C4">
            <w:pPr>
              <w:widowControl/>
              <w:autoSpaceDE/>
              <w:autoSpaceDN/>
              <w:adjustRightInd/>
              <w:rPr>
                <w:rFonts w:eastAsia="Times New Roman" w:cs="Arial"/>
                <w:color w:val="000000"/>
                <w:szCs w:val="22"/>
              </w:rPr>
            </w:pPr>
            <w:r>
              <w:rPr>
                <w:rFonts w:cs="Arial"/>
                <w:color w:val="000000"/>
                <w:szCs w:val="22"/>
              </w:rPr>
              <w:t>IT Management</w:t>
            </w:r>
          </w:p>
        </w:tc>
        <w:tc>
          <w:tcPr>
            <w:tcW w:w="1172" w:type="pct"/>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98431CD" w14:textId="47722EE3"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       514,779,521 </w:t>
            </w:r>
          </w:p>
        </w:tc>
        <w:tc>
          <w:tcPr>
            <w:tcW w:w="1141" w:type="pct"/>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F7752B8" w14:textId="272240D6"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8%</w:t>
            </w:r>
          </w:p>
        </w:tc>
        <w:tc>
          <w:tcPr>
            <w:tcW w:w="918" w:type="pct"/>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FAD6777" w14:textId="66B4B03C"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597 </w:t>
            </w:r>
          </w:p>
        </w:tc>
        <w:tc>
          <w:tcPr>
            <w:tcW w:w="888" w:type="pct"/>
            <w:tcBorders>
              <w:top w:val="single" w:sz="4" w:space="0" w:color="FFFFFF"/>
              <w:left w:val="single" w:sz="4" w:space="0" w:color="FFFFFF"/>
              <w:bottom w:val="single" w:sz="4" w:space="0" w:color="FFFFFF"/>
              <w:right w:val="nil"/>
            </w:tcBorders>
            <w:shd w:val="clear" w:color="DCE6F1" w:fill="DCE6F1"/>
            <w:noWrap/>
            <w:vAlign w:val="bottom"/>
            <w:hideMark/>
          </w:tcPr>
          <w:p w14:paraId="5A66F534" w14:textId="0DF6F9E9"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4%</w:t>
            </w:r>
          </w:p>
        </w:tc>
      </w:tr>
      <w:tr w:rsidR="006828C4" w:rsidRPr="0069181B" w14:paraId="3E5088CA" w14:textId="77777777" w:rsidTr="003E58F8">
        <w:trPr>
          <w:trHeight w:val="285"/>
        </w:trPr>
        <w:tc>
          <w:tcPr>
            <w:tcW w:w="882" w:type="pct"/>
            <w:tcBorders>
              <w:top w:val="single" w:sz="4" w:space="0" w:color="FFFFFF"/>
              <w:left w:val="nil"/>
              <w:bottom w:val="single" w:sz="4" w:space="0" w:color="FFFFFF"/>
              <w:right w:val="single" w:sz="4" w:space="0" w:color="FFFFFF"/>
            </w:tcBorders>
            <w:shd w:val="clear" w:color="B8CCE4" w:fill="B8CCE4"/>
            <w:noWrap/>
            <w:vAlign w:val="bottom"/>
            <w:hideMark/>
          </w:tcPr>
          <w:p w14:paraId="4D21CCCD" w14:textId="2156B503" w:rsidR="006828C4" w:rsidRPr="0069181B" w:rsidRDefault="006828C4" w:rsidP="006828C4">
            <w:pPr>
              <w:widowControl/>
              <w:autoSpaceDE/>
              <w:autoSpaceDN/>
              <w:adjustRightInd/>
              <w:rPr>
                <w:rFonts w:eastAsia="Times New Roman" w:cs="Arial"/>
                <w:color w:val="000000"/>
                <w:szCs w:val="22"/>
              </w:rPr>
            </w:pPr>
            <w:r>
              <w:rPr>
                <w:rFonts w:cs="Arial"/>
                <w:color w:val="000000"/>
                <w:szCs w:val="22"/>
              </w:rPr>
              <w:t>Network</w:t>
            </w:r>
          </w:p>
        </w:tc>
        <w:tc>
          <w:tcPr>
            <w:tcW w:w="1172" w:type="pct"/>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4BAAA31" w14:textId="21927133"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       514,779,521 </w:t>
            </w:r>
          </w:p>
        </w:tc>
        <w:tc>
          <w:tcPr>
            <w:tcW w:w="1141" w:type="pct"/>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81FEBD9" w14:textId="52DB85D3" w:rsidR="006828C4" w:rsidRPr="0069181B" w:rsidRDefault="0040561B" w:rsidP="006828C4">
            <w:pPr>
              <w:widowControl/>
              <w:autoSpaceDE/>
              <w:autoSpaceDN/>
              <w:adjustRightInd/>
              <w:jc w:val="right"/>
              <w:rPr>
                <w:rFonts w:eastAsia="Times New Roman" w:cs="Arial"/>
                <w:color w:val="000000"/>
                <w:szCs w:val="22"/>
              </w:rPr>
            </w:pPr>
            <w:r>
              <w:rPr>
                <w:rFonts w:cs="Arial"/>
                <w:color w:val="000000"/>
                <w:szCs w:val="22"/>
              </w:rPr>
              <w:t>8</w:t>
            </w:r>
            <w:r w:rsidR="006828C4">
              <w:rPr>
                <w:rFonts w:cs="Arial"/>
                <w:color w:val="000000"/>
                <w:szCs w:val="22"/>
              </w:rPr>
              <w:t>%</w:t>
            </w:r>
          </w:p>
        </w:tc>
        <w:tc>
          <w:tcPr>
            <w:tcW w:w="918" w:type="pct"/>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BA7B9B3" w14:textId="43C7EBA5"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1,791 </w:t>
            </w:r>
          </w:p>
        </w:tc>
        <w:tc>
          <w:tcPr>
            <w:tcW w:w="888" w:type="pct"/>
            <w:tcBorders>
              <w:top w:val="single" w:sz="4" w:space="0" w:color="FFFFFF"/>
              <w:left w:val="single" w:sz="4" w:space="0" w:color="FFFFFF"/>
              <w:bottom w:val="single" w:sz="4" w:space="0" w:color="FFFFFF"/>
              <w:right w:val="nil"/>
            </w:tcBorders>
            <w:shd w:val="clear" w:color="B8CCE4" w:fill="B8CCE4"/>
            <w:noWrap/>
            <w:vAlign w:val="bottom"/>
            <w:hideMark/>
          </w:tcPr>
          <w:p w14:paraId="1C8BE803" w14:textId="2EBB2F9E"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12%</w:t>
            </w:r>
          </w:p>
        </w:tc>
      </w:tr>
      <w:tr w:rsidR="006828C4" w:rsidRPr="0069181B" w14:paraId="5F375A77" w14:textId="77777777" w:rsidTr="003E58F8">
        <w:trPr>
          <w:trHeight w:val="285"/>
        </w:trPr>
        <w:tc>
          <w:tcPr>
            <w:tcW w:w="882" w:type="pct"/>
            <w:tcBorders>
              <w:top w:val="single" w:sz="4" w:space="0" w:color="FFFFFF"/>
              <w:left w:val="nil"/>
              <w:bottom w:val="single" w:sz="4" w:space="0" w:color="FFFFFF"/>
              <w:right w:val="single" w:sz="4" w:space="0" w:color="FFFFFF"/>
            </w:tcBorders>
            <w:shd w:val="clear" w:color="DCE6F1" w:fill="DCE6F1"/>
            <w:noWrap/>
            <w:vAlign w:val="bottom"/>
            <w:hideMark/>
          </w:tcPr>
          <w:p w14:paraId="329C9516" w14:textId="55131EB9" w:rsidR="006828C4" w:rsidRPr="0069181B" w:rsidRDefault="006828C4" w:rsidP="006828C4">
            <w:pPr>
              <w:widowControl/>
              <w:autoSpaceDE/>
              <w:autoSpaceDN/>
              <w:adjustRightInd/>
              <w:rPr>
                <w:rFonts w:eastAsia="Times New Roman" w:cs="Arial"/>
                <w:color w:val="000000"/>
                <w:szCs w:val="22"/>
              </w:rPr>
            </w:pPr>
            <w:r>
              <w:rPr>
                <w:rFonts w:cs="Arial"/>
                <w:color w:val="000000"/>
                <w:szCs w:val="22"/>
              </w:rPr>
              <w:t>Output</w:t>
            </w:r>
          </w:p>
        </w:tc>
        <w:tc>
          <w:tcPr>
            <w:tcW w:w="1172" w:type="pct"/>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C102F74" w14:textId="49C972E7"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         31,837,898 </w:t>
            </w:r>
          </w:p>
        </w:tc>
        <w:tc>
          <w:tcPr>
            <w:tcW w:w="1141" w:type="pct"/>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3F95366" w14:textId="3CB7490A"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0%</w:t>
            </w:r>
          </w:p>
        </w:tc>
        <w:tc>
          <w:tcPr>
            <w:tcW w:w="918" w:type="pct"/>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F015D3A" w14:textId="01B51806"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327 </w:t>
            </w:r>
          </w:p>
        </w:tc>
        <w:tc>
          <w:tcPr>
            <w:tcW w:w="888" w:type="pct"/>
            <w:tcBorders>
              <w:top w:val="single" w:sz="4" w:space="0" w:color="FFFFFF"/>
              <w:left w:val="single" w:sz="4" w:space="0" w:color="FFFFFF"/>
              <w:bottom w:val="single" w:sz="4" w:space="0" w:color="FFFFFF"/>
              <w:right w:val="nil"/>
            </w:tcBorders>
            <w:shd w:val="clear" w:color="DCE6F1" w:fill="DCE6F1"/>
            <w:noWrap/>
            <w:vAlign w:val="bottom"/>
            <w:hideMark/>
          </w:tcPr>
          <w:p w14:paraId="12624680" w14:textId="670A7C50"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2%</w:t>
            </w:r>
          </w:p>
        </w:tc>
      </w:tr>
      <w:tr w:rsidR="006828C4" w:rsidRPr="0069181B" w14:paraId="7D700D48" w14:textId="77777777" w:rsidTr="003E58F8">
        <w:trPr>
          <w:trHeight w:val="285"/>
        </w:trPr>
        <w:tc>
          <w:tcPr>
            <w:tcW w:w="882" w:type="pct"/>
            <w:tcBorders>
              <w:top w:val="single" w:sz="4" w:space="0" w:color="FFFFFF"/>
              <w:left w:val="nil"/>
              <w:bottom w:val="single" w:sz="4" w:space="0" w:color="FFFFFF"/>
              <w:right w:val="single" w:sz="4" w:space="0" w:color="FFFFFF"/>
            </w:tcBorders>
            <w:shd w:val="clear" w:color="B8CCE4" w:fill="B8CCE4"/>
            <w:noWrap/>
            <w:vAlign w:val="bottom"/>
            <w:hideMark/>
          </w:tcPr>
          <w:p w14:paraId="69966962" w14:textId="5060D44F" w:rsidR="006828C4" w:rsidRPr="0069181B" w:rsidRDefault="006828C4" w:rsidP="006828C4">
            <w:pPr>
              <w:widowControl/>
              <w:autoSpaceDE/>
              <w:autoSpaceDN/>
              <w:adjustRightInd/>
              <w:rPr>
                <w:rFonts w:eastAsia="Times New Roman" w:cs="Arial"/>
                <w:color w:val="000000"/>
                <w:szCs w:val="22"/>
              </w:rPr>
            </w:pPr>
            <w:r>
              <w:rPr>
                <w:rFonts w:cs="Arial"/>
                <w:color w:val="000000"/>
                <w:szCs w:val="22"/>
              </w:rPr>
              <w:t>Platform</w:t>
            </w:r>
          </w:p>
        </w:tc>
        <w:tc>
          <w:tcPr>
            <w:tcW w:w="1172" w:type="pct"/>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A55D2DB" w14:textId="603735A6"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       105,061,860 </w:t>
            </w:r>
          </w:p>
        </w:tc>
        <w:tc>
          <w:tcPr>
            <w:tcW w:w="1141" w:type="pct"/>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986F7DE" w14:textId="6E885650"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2%</w:t>
            </w:r>
          </w:p>
        </w:tc>
        <w:tc>
          <w:tcPr>
            <w:tcW w:w="918" w:type="pct"/>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9DFF776" w14:textId="3F3D5FC0"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835 </w:t>
            </w:r>
          </w:p>
        </w:tc>
        <w:tc>
          <w:tcPr>
            <w:tcW w:w="888" w:type="pct"/>
            <w:tcBorders>
              <w:top w:val="single" w:sz="4" w:space="0" w:color="FFFFFF"/>
              <w:left w:val="single" w:sz="4" w:space="0" w:color="FFFFFF"/>
              <w:bottom w:val="single" w:sz="4" w:space="0" w:color="FFFFFF"/>
              <w:right w:val="nil"/>
            </w:tcBorders>
            <w:shd w:val="clear" w:color="B8CCE4" w:fill="B8CCE4"/>
            <w:noWrap/>
            <w:vAlign w:val="bottom"/>
            <w:hideMark/>
          </w:tcPr>
          <w:p w14:paraId="10252E5B" w14:textId="7266AD1E" w:rsidR="006828C4" w:rsidRPr="0069181B" w:rsidRDefault="0040561B" w:rsidP="006828C4">
            <w:pPr>
              <w:widowControl/>
              <w:autoSpaceDE/>
              <w:autoSpaceDN/>
              <w:adjustRightInd/>
              <w:jc w:val="right"/>
              <w:rPr>
                <w:rFonts w:eastAsia="Times New Roman" w:cs="Arial"/>
                <w:color w:val="000000"/>
                <w:szCs w:val="22"/>
              </w:rPr>
            </w:pPr>
            <w:r>
              <w:rPr>
                <w:rFonts w:cs="Arial"/>
                <w:color w:val="000000"/>
                <w:szCs w:val="22"/>
              </w:rPr>
              <w:t>6</w:t>
            </w:r>
            <w:r w:rsidR="006828C4">
              <w:rPr>
                <w:rFonts w:cs="Arial"/>
                <w:color w:val="000000"/>
                <w:szCs w:val="22"/>
              </w:rPr>
              <w:t>%</w:t>
            </w:r>
          </w:p>
        </w:tc>
      </w:tr>
      <w:tr w:rsidR="006828C4" w:rsidRPr="0069181B" w14:paraId="73F0132B" w14:textId="77777777" w:rsidTr="003E58F8">
        <w:trPr>
          <w:trHeight w:val="285"/>
        </w:trPr>
        <w:tc>
          <w:tcPr>
            <w:tcW w:w="882" w:type="pct"/>
            <w:tcBorders>
              <w:top w:val="single" w:sz="4" w:space="0" w:color="FFFFFF"/>
              <w:left w:val="nil"/>
              <w:bottom w:val="single" w:sz="4" w:space="0" w:color="FFFFFF"/>
              <w:right w:val="single" w:sz="4" w:space="0" w:color="FFFFFF"/>
            </w:tcBorders>
            <w:shd w:val="clear" w:color="DCE6F1" w:fill="DCE6F1"/>
            <w:noWrap/>
            <w:vAlign w:val="bottom"/>
            <w:hideMark/>
          </w:tcPr>
          <w:p w14:paraId="4EBA7426" w14:textId="3FD05A19" w:rsidR="006828C4" w:rsidRPr="0069181B" w:rsidRDefault="006828C4" w:rsidP="006828C4">
            <w:pPr>
              <w:widowControl/>
              <w:autoSpaceDE/>
              <w:autoSpaceDN/>
              <w:adjustRightInd/>
              <w:rPr>
                <w:rFonts w:eastAsia="Times New Roman" w:cs="Arial"/>
                <w:color w:val="000000"/>
                <w:szCs w:val="22"/>
              </w:rPr>
            </w:pPr>
            <w:r>
              <w:rPr>
                <w:rFonts w:cs="Arial"/>
                <w:color w:val="000000"/>
                <w:szCs w:val="22"/>
              </w:rPr>
              <w:t>Security</w:t>
            </w:r>
          </w:p>
        </w:tc>
        <w:tc>
          <w:tcPr>
            <w:tcW w:w="1172" w:type="pct"/>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206AC58" w14:textId="7B48A076"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       127,687,919 </w:t>
            </w:r>
          </w:p>
        </w:tc>
        <w:tc>
          <w:tcPr>
            <w:tcW w:w="1141" w:type="pct"/>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50EA44E" w14:textId="4CD91CC5"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2%</w:t>
            </w:r>
          </w:p>
        </w:tc>
        <w:tc>
          <w:tcPr>
            <w:tcW w:w="918" w:type="pct"/>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DC2133D" w14:textId="4B3BDE3B"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875 </w:t>
            </w:r>
          </w:p>
        </w:tc>
        <w:tc>
          <w:tcPr>
            <w:tcW w:w="888" w:type="pct"/>
            <w:tcBorders>
              <w:top w:val="single" w:sz="4" w:space="0" w:color="FFFFFF"/>
              <w:left w:val="single" w:sz="4" w:space="0" w:color="FFFFFF"/>
              <w:bottom w:val="single" w:sz="4" w:space="0" w:color="FFFFFF"/>
              <w:right w:val="nil"/>
            </w:tcBorders>
            <w:shd w:val="clear" w:color="DCE6F1" w:fill="DCE6F1"/>
            <w:noWrap/>
            <w:vAlign w:val="bottom"/>
            <w:hideMark/>
          </w:tcPr>
          <w:p w14:paraId="6968C8E6" w14:textId="147BA3B2"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6%</w:t>
            </w:r>
          </w:p>
        </w:tc>
      </w:tr>
      <w:tr w:rsidR="006828C4" w:rsidRPr="0069181B" w14:paraId="778156FA" w14:textId="77777777" w:rsidTr="003E58F8">
        <w:trPr>
          <w:trHeight w:val="285"/>
        </w:trPr>
        <w:tc>
          <w:tcPr>
            <w:tcW w:w="882" w:type="pct"/>
            <w:tcBorders>
              <w:top w:val="single" w:sz="4" w:space="0" w:color="FFFFFF"/>
              <w:left w:val="nil"/>
              <w:bottom w:val="single" w:sz="4" w:space="0" w:color="FFFFFF"/>
              <w:right w:val="single" w:sz="4" w:space="0" w:color="FFFFFF"/>
            </w:tcBorders>
            <w:shd w:val="clear" w:color="B8CCE4" w:fill="B8CCE4"/>
            <w:noWrap/>
            <w:vAlign w:val="bottom"/>
            <w:hideMark/>
          </w:tcPr>
          <w:p w14:paraId="5C1C3CE0" w14:textId="4A85AC30" w:rsidR="006828C4" w:rsidRPr="0069181B" w:rsidRDefault="006828C4" w:rsidP="006828C4">
            <w:pPr>
              <w:widowControl/>
              <w:autoSpaceDE/>
              <w:autoSpaceDN/>
              <w:adjustRightInd/>
              <w:rPr>
                <w:rFonts w:eastAsia="Times New Roman" w:cs="Arial"/>
                <w:color w:val="000000"/>
                <w:szCs w:val="22"/>
              </w:rPr>
            </w:pPr>
            <w:r>
              <w:rPr>
                <w:rFonts w:cs="Arial"/>
                <w:color w:val="000000"/>
                <w:szCs w:val="22"/>
              </w:rPr>
              <w:t>Storage</w:t>
            </w:r>
          </w:p>
        </w:tc>
        <w:tc>
          <w:tcPr>
            <w:tcW w:w="1172" w:type="pct"/>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25838B6" w14:textId="7410C805"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       178,825,355 </w:t>
            </w:r>
          </w:p>
        </w:tc>
        <w:tc>
          <w:tcPr>
            <w:tcW w:w="1141" w:type="pct"/>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D848811" w14:textId="34928E76"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3%</w:t>
            </w:r>
          </w:p>
        </w:tc>
        <w:tc>
          <w:tcPr>
            <w:tcW w:w="918" w:type="pct"/>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064C7DE" w14:textId="674E8ED5"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785 </w:t>
            </w:r>
          </w:p>
        </w:tc>
        <w:tc>
          <w:tcPr>
            <w:tcW w:w="888" w:type="pct"/>
            <w:tcBorders>
              <w:top w:val="single" w:sz="4" w:space="0" w:color="FFFFFF"/>
              <w:left w:val="single" w:sz="4" w:space="0" w:color="FFFFFF"/>
              <w:bottom w:val="single" w:sz="4" w:space="0" w:color="FFFFFF"/>
              <w:right w:val="nil"/>
            </w:tcBorders>
            <w:shd w:val="clear" w:color="B8CCE4" w:fill="B8CCE4"/>
            <w:noWrap/>
            <w:vAlign w:val="bottom"/>
            <w:hideMark/>
          </w:tcPr>
          <w:p w14:paraId="65548BBA" w14:textId="2F98684E"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5%</w:t>
            </w:r>
          </w:p>
        </w:tc>
      </w:tr>
      <w:tr w:rsidR="006828C4" w:rsidRPr="0069181B" w14:paraId="62B49C09" w14:textId="77777777" w:rsidTr="003E58F8">
        <w:trPr>
          <w:trHeight w:val="285"/>
        </w:trPr>
        <w:tc>
          <w:tcPr>
            <w:tcW w:w="882" w:type="pct"/>
            <w:tcBorders>
              <w:top w:val="single" w:sz="4" w:space="0" w:color="FFFFFF"/>
              <w:left w:val="nil"/>
              <w:bottom w:val="single" w:sz="4" w:space="0" w:color="FFFFFF"/>
              <w:right w:val="single" w:sz="4" w:space="0" w:color="FFFFFF"/>
            </w:tcBorders>
            <w:shd w:val="clear" w:color="DCE6F1" w:fill="DCE6F1"/>
            <w:noWrap/>
            <w:vAlign w:val="bottom"/>
            <w:hideMark/>
          </w:tcPr>
          <w:p w14:paraId="37F2B10D" w14:textId="13BA50B6" w:rsidR="006828C4" w:rsidRPr="0069181B" w:rsidRDefault="006828C4" w:rsidP="006828C4">
            <w:pPr>
              <w:widowControl/>
              <w:autoSpaceDE/>
              <w:autoSpaceDN/>
              <w:adjustRightInd/>
              <w:rPr>
                <w:rFonts w:eastAsia="Times New Roman" w:cs="Arial"/>
                <w:color w:val="000000"/>
                <w:szCs w:val="22"/>
              </w:rPr>
            </w:pPr>
            <w:r>
              <w:rPr>
                <w:rFonts w:cs="Arial"/>
                <w:color w:val="000000"/>
                <w:szCs w:val="22"/>
              </w:rPr>
              <w:t>Other/Non-IT</w:t>
            </w:r>
          </w:p>
        </w:tc>
        <w:tc>
          <w:tcPr>
            <w:tcW w:w="1172" w:type="pct"/>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47F1FDA" w14:textId="3CCA1301"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       152,547,089 </w:t>
            </w:r>
          </w:p>
        </w:tc>
        <w:tc>
          <w:tcPr>
            <w:tcW w:w="1141" w:type="pct"/>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BF5F01F" w14:textId="744CA9C2"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2%</w:t>
            </w:r>
          </w:p>
        </w:tc>
        <w:tc>
          <w:tcPr>
            <w:tcW w:w="918" w:type="pct"/>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509ADE7" w14:textId="37000C2B" w:rsidR="006828C4" w:rsidRPr="0069181B" w:rsidRDefault="006828C4" w:rsidP="003E58F8">
            <w:pPr>
              <w:widowControl/>
              <w:autoSpaceDE/>
              <w:autoSpaceDN/>
              <w:adjustRightInd/>
              <w:jc w:val="right"/>
              <w:rPr>
                <w:rFonts w:eastAsia="Times New Roman" w:cs="Arial"/>
                <w:color w:val="000000"/>
                <w:szCs w:val="22"/>
              </w:rPr>
            </w:pPr>
            <w:r>
              <w:rPr>
                <w:rFonts w:cs="Arial"/>
                <w:color w:val="000000"/>
                <w:szCs w:val="22"/>
              </w:rPr>
              <w:t xml:space="preserve">                   278 </w:t>
            </w:r>
          </w:p>
        </w:tc>
        <w:tc>
          <w:tcPr>
            <w:tcW w:w="888" w:type="pct"/>
            <w:tcBorders>
              <w:top w:val="single" w:sz="4" w:space="0" w:color="FFFFFF"/>
              <w:left w:val="single" w:sz="4" w:space="0" w:color="FFFFFF"/>
              <w:bottom w:val="single" w:sz="4" w:space="0" w:color="FFFFFF"/>
              <w:right w:val="nil"/>
            </w:tcBorders>
            <w:shd w:val="clear" w:color="DCE6F1" w:fill="DCE6F1"/>
            <w:noWrap/>
            <w:vAlign w:val="bottom"/>
            <w:hideMark/>
          </w:tcPr>
          <w:p w14:paraId="4F614C30" w14:textId="7B44BEBC" w:rsidR="006828C4" w:rsidRPr="0069181B" w:rsidRDefault="006828C4" w:rsidP="006828C4">
            <w:pPr>
              <w:widowControl/>
              <w:autoSpaceDE/>
              <w:autoSpaceDN/>
              <w:adjustRightInd/>
              <w:jc w:val="right"/>
              <w:rPr>
                <w:rFonts w:eastAsia="Times New Roman" w:cs="Arial"/>
                <w:color w:val="000000"/>
                <w:szCs w:val="22"/>
              </w:rPr>
            </w:pPr>
            <w:r>
              <w:rPr>
                <w:rFonts w:cs="Arial"/>
                <w:color w:val="000000"/>
                <w:szCs w:val="22"/>
              </w:rPr>
              <w:t>2%</w:t>
            </w:r>
          </w:p>
        </w:tc>
      </w:tr>
      <w:tr w:rsidR="006828C4" w:rsidRPr="0069181B" w14:paraId="751B7702" w14:textId="77777777" w:rsidTr="003E58F8">
        <w:trPr>
          <w:trHeight w:val="285"/>
        </w:trPr>
        <w:tc>
          <w:tcPr>
            <w:tcW w:w="882" w:type="pct"/>
            <w:tcBorders>
              <w:top w:val="single" w:sz="12" w:space="0" w:color="FFFFFF"/>
              <w:left w:val="nil"/>
              <w:bottom w:val="nil"/>
              <w:right w:val="single" w:sz="4" w:space="0" w:color="FFFFFF"/>
            </w:tcBorders>
            <w:shd w:val="clear" w:color="4F81BD" w:fill="4F81BD"/>
            <w:noWrap/>
            <w:vAlign w:val="bottom"/>
            <w:hideMark/>
          </w:tcPr>
          <w:p w14:paraId="45D2F3DD" w14:textId="5D24B4FA" w:rsidR="006828C4" w:rsidRPr="0069181B" w:rsidRDefault="006828C4" w:rsidP="006828C4">
            <w:pPr>
              <w:widowControl/>
              <w:autoSpaceDE/>
              <w:autoSpaceDN/>
              <w:adjustRightInd/>
              <w:rPr>
                <w:rFonts w:eastAsia="Times New Roman" w:cs="Arial"/>
                <w:b/>
                <w:bCs/>
                <w:color w:val="FFFFFF"/>
                <w:szCs w:val="22"/>
              </w:rPr>
            </w:pPr>
            <w:r>
              <w:rPr>
                <w:rFonts w:cs="Arial"/>
                <w:b/>
                <w:bCs/>
                <w:color w:val="FFFFFF"/>
                <w:szCs w:val="22"/>
              </w:rPr>
              <w:t>Total</w:t>
            </w:r>
          </w:p>
        </w:tc>
        <w:tc>
          <w:tcPr>
            <w:tcW w:w="1172" w:type="pct"/>
            <w:tcBorders>
              <w:top w:val="single" w:sz="12" w:space="0" w:color="FFFFFF"/>
              <w:left w:val="single" w:sz="4" w:space="0" w:color="FFFFFF"/>
              <w:bottom w:val="nil"/>
              <w:right w:val="single" w:sz="4" w:space="0" w:color="FFFFFF"/>
            </w:tcBorders>
            <w:shd w:val="clear" w:color="4F81BD" w:fill="4F81BD"/>
            <w:noWrap/>
            <w:vAlign w:val="bottom"/>
            <w:hideMark/>
          </w:tcPr>
          <w:p w14:paraId="48E24305" w14:textId="7E2484FB" w:rsidR="006828C4" w:rsidRPr="0069181B" w:rsidRDefault="006828C4" w:rsidP="003E58F8">
            <w:pPr>
              <w:widowControl/>
              <w:autoSpaceDE/>
              <w:autoSpaceDN/>
              <w:adjustRightInd/>
              <w:jc w:val="right"/>
              <w:rPr>
                <w:rFonts w:eastAsia="Times New Roman" w:cs="Arial"/>
                <w:b/>
                <w:bCs/>
                <w:color w:val="FFFFFF"/>
                <w:szCs w:val="22"/>
              </w:rPr>
            </w:pPr>
            <w:r>
              <w:rPr>
                <w:rFonts w:cs="Arial"/>
                <w:b/>
                <w:bCs/>
                <w:color w:val="FFFFFF"/>
                <w:szCs w:val="22"/>
              </w:rPr>
              <w:t xml:space="preserve"> $    6,790,670,095 </w:t>
            </w:r>
          </w:p>
        </w:tc>
        <w:tc>
          <w:tcPr>
            <w:tcW w:w="1141" w:type="pct"/>
            <w:tcBorders>
              <w:top w:val="single" w:sz="12" w:space="0" w:color="FFFFFF"/>
              <w:left w:val="single" w:sz="4" w:space="0" w:color="FFFFFF"/>
              <w:bottom w:val="nil"/>
              <w:right w:val="single" w:sz="4" w:space="0" w:color="FFFFFF"/>
            </w:tcBorders>
            <w:shd w:val="clear" w:color="4F81BD" w:fill="4F81BD"/>
            <w:noWrap/>
            <w:vAlign w:val="bottom"/>
            <w:hideMark/>
          </w:tcPr>
          <w:p w14:paraId="2B31F993" w14:textId="7C063378" w:rsidR="006828C4" w:rsidRPr="0069181B" w:rsidRDefault="006828C4" w:rsidP="006828C4">
            <w:pPr>
              <w:widowControl/>
              <w:autoSpaceDE/>
              <w:autoSpaceDN/>
              <w:adjustRightInd/>
              <w:jc w:val="right"/>
              <w:rPr>
                <w:rFonts w:eastAsia="Times New Roman" w:cs="Arial"/>
                <w:b/>
                <w:bCs/>
                <w:color w:val="FFFFFF"/>
                <w:szCs w:val="22"/>
              </w:rPr>
            </w:pPr>
            <w:r>
              <w:rPr>
                <w:rFonts w:cs="Arial"/>
                <w:b/>
                <w:bCs/>
                <w:color w:val="FFFFFF"/>
                <w:szCs w:val="22"/>
              </w:rPr>
              <w:t>100%</w:t>
            </w:r>
          </w:p>
        </w:tc>
        <w:tc>
          <w:tcPr>
            <w:tcW w:w="918" w:type="pct"/>
            <w:tcBorders>
              <w:top w:val="single" w:sz="12" w:space="0" w:color="FFFFFF"/>
              <w:left w:val="single" w:sz="4" w:space="0" w:color="FFFFFF"/>
              <w:bottom w:val="nil"/>
              <w:right w:val="single" w:sz="4" w:space="0" w:color="FFFFFF"/>
            </w:tcBorders>
            <w:shd w:val="clear" w:color="4F81BD" w:fill="4F81BD"/>
            <w:noWrap/>
            <w:vAlign w:val="bottom"/>
            <w:hideMark/>
          </w:tcPr>
          <w:p w14:paraId="37403F50" w14:textId="10533C83" w:rsidR="006828C4" w:rsidRPr="0069181B" w:rsidRDefault="006828C4" w:rsidP="003E58F8">
            <w:pPr>
              <w:widowControl/>
              <w:autoSpaceDE/>
              <w:autoSpaceDN/>
              <w:adjustRightInd/>
              <w:jc w:val="right"/>
              <w:rPr>
                <w:rFonts w:eastAsia="Times New Roman" w:cs="Arial"/>
                <w:b/>
                <w:bCs/>
                <w:color w:val="FFFFFF"/>
                <w:szCs w:val="22"/>
              </w:rPr>
            </w:pPr>
            <w:r>
              <w:rPr>
                <w:rFonts w:cs="Arial"/>
                <w:b/>
                <w:bCs/>
                <w:color w:val="FFFFFF"/>
                <w:szCs w:val="22"/>
              </w:rPr>
              <w:t xml:space="preserve">              15,154 </w:t>
            </w:r>
          </w:p>
        </w:tc>
        <w:tc>
          <w:tcPr>
            <w:tcW w:w="888" w:type="pct"/>
            <w:tcBorders>
              <w:top w:val="single" w:sz="12" w:space="0" w:color="FFFFFF"/>
              <w:left w:val="single" w:sz="4" w:space="0" w:color="FFFFFF"/>
              <w:bottom w:val="nil"/>
              <w:right w:val="nil"/>
            </w:tcBorders>
            <w:shd w:val="clear" w:color="4F81BD" w:fill="4F81BD"/>
            <w:noWrap/>
            <w:vAlign w:val="bottom"/>
            <w:hideMark/>
          </w:tcPr>
          <w:p w14:paraId="36C9C1C5" w14:textId="4C0C6F99" w:rsidR="006828C4" w:rsidRPr="0069181B" w:rsidRDefault="006828C4" w:rsidP="006828C4">
            <w:pPr>
              <w:widowControl/>
              <w:autoSpaceDE/>
              <w:autoSpaceDN/>
              <w:adjustRightInd/>
              <w:jc w:val="right"/>
              <w:rPr>
                <w:rFonts w:eastAsia="Times New Roman" w:cs="Arial"/>
                <w:b/>
                <w:bCs/>
                <w:color w:val="FFFFFF"/>
                <w:szCs w:val="22"/>
              </w:rPr>
            </w:pPr>
            <w:r>
              <w:rPr>
                <w:rFonts w:cs="Arial"/>
                <w:b/>
                <w:bCs/>
                <w:color w:val="FFFFFF"/>
                <w:szCs w:val="22"/>
              </w:rPr>
              <w:t>100%</w:t>
            </w:r>
          </w:p>
        </w:tc>
      </w:tr>
    </w:tbl>
    <w:p w14:paraId="75306D4D" w14:textId="39FD127B" w:rsidR="00ED0F13" w:rsidRDefault="00ED0F13" w:rsidP="00A712F8">
      <w:pPr>
        <w:rPr>
          <w:rFonts w:cs="Arial"/>
          <w:szCs w:val="22"/>
        </w:rPr>
      </w:pPr>
    </w:p>
    <w:p w14:paraId="5919ECF9" w14:textId="7E788929" w:rsidR="00E857D6" w:rsidRDefault="009F2F80" w:rsidP="00A712F8">
      <w:pPr>
        <w:rPr>
          <w:rFonts w:cs="Arial"/>
        </w:rPr>
      </w:pPr>
      <w:r>
        <w:rPr>
          <w:noProof/>
        </w:rPr>
        <w:lastRenderedPageBreak/>
        <w:drawing>
          <wp:inline distT="0" distB="0" distL="0" distR="0" wp14:anchorId="7132F81B" wp14:editId="648F03E6">
            <wp:extent cx="5943600" cy="3324225"/>
            <wp:effectExtent l="0" t="0" r="0" b="9525"/>
            <wp:docPr id="1"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6A4BDC" w14:textId="666EA11F" w:rsidR="009613E9" w:rsidRPr="00733D15" w:rsidRDefault="009613E9" w:rsidP="00A712F8">
      <w:pPr>
        <w:rPr>
          <w:rFonts w:cs="Arial"/>
        </w:rPr>
      </w:pPr>
    </w:p>
    <w:p w14:paraId="1BDBBB02" w14:textId="2EDFE868" w:rsidR="00295DC5" w:rsidRPr="000F697B" w:rsidRDefault="009F2F80" w:rsidP="00ED06B3">
      <w:pPr>
        <w:jc w:val="center"/>
        <w:rPr>
          <w:rFonts w:cs="Arial"/>
        </w:rPr>
      </w:pPr>
      <w:r>
        <w:rPr>
          <w:noProof/>
        </w:rPr>
        <w:drawing>
          <wp:inline distT="0" distB="0" distL="0" distR="0" wp14:anchorId="5EE39EAB" wp14:editId="5BF9944F">
            <wp:extent cx="5924550" cy="3914775"/>
            <wp:effectExtent l="0" t="0" r="0" b="9525"/>
            <wp:docPr id="2" name="Chart 2">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A1F38C" w14:textId="0DEB9495" w:rsidR="005E4BAE" w:rsidRDefault="00972529" w:rsidP="00A712F8">
      <w:pPr>
        <w:rPr>
          <w:noProof/>
        </w:rPr>
      </w:pPr>
      <w:r>
        <w:rPr>
          <w:noProof/>
        </w:rPr>
        <w:t xml:space="preserve"> </w:t>
      </w:r>
    </w:p>
    <w:p w14:paraId="21AFBFB1" w14:textId="77777777" w:rsidR="00ED06B3" w:rsidRDefault="00ED06B3" w:rsidP="00A712F8">
      <w:pPr>
        <w:rPr>
          <w:noProof/>
        </w:rPr>
      </w:pPr>
    </w:p>
    <w:p w14:paraId="2952BE5D" w14:textId="7B8D7A63" w:rsidR="00E857D6" w:rsidRDefault="009F2F80" w:rsidP="00ED06B3">
      <w:pPr>
        <w:jc w:val="center"/>
        <w:rPr>
          <w:rFonts w:cs="Arial"/>
        </w:rPr>
      </w:pPr>
      <w:r>
        <w:rPr>
          <w:noProof/>
        </w:rPr>
        <w:lastRenderedPageBreak/>
        <w:drawing>
          <wp:inline distT="0" distB="0" distL="0" distR="0" wp14:anchorId="00AFBF19" wp14:editId="319DE0A5">
            <wp:extent cx="5915025" cy="3381375"/>
            <wp:effectExtent l="0" t="0" r="9525" b="9525"/>
            <wp:docPr id="4" name="Chart 4">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9D320E" w14:textId="77777777" w:rsidR="00EE588B" w:rsidRPr="00733D15" w:rsidRDefault="00EE588B" w:rsidP="00ED06B3">
      <w:pPr>
        <w:jc w:val="center"/>
        <w:rPr>
          <w:rFonts w:cs="Arial"/>
        </w:rPr>
      </w:pPr>
    </w:p>
    <w:p w14:paraId="08BA2A9D" w14:textId="192EBCF6" w:rsidR="00295DC5" w:rsidRDefault="00972529" w:rsidP="00A712F8">
      <w:pPr>
        <w:rPr>
          <w:rFonts w:cs="Arial"/>
        </w:rPr>
      </w:pPr>
      <w:r>
        <w:rPr>
          <w:noProof/>
        </w:rPr>
        <w:drawing>
          <wp:inline distT="0" distB="0" distL="0" distR="0" wp14:anchorId="3113D67A" wp14:editId="79215D66">
            <wp:extent cx="5953125" cy="3914775"/>
            <wp:effectExtent l="0" t="0" r="9525" b="9525"/>
            <wp:docPr id="21" name="Chart 2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F5A6602" w14:textId="448F69DB" w:rsidR="00972529" w:rsidRDefault="00972529" w:rsidP="00A712F8">
      <w:pPr>
        <w:rPr>
          <w:rFonts w:cs="Arial"/>
        </w:rPr>
      </w:pPr>
    </w:p>
    <w:p w14:paraId="4CDCBD5E" w14:textId="77777777" w:rsidR="00ED06B3" w:rsidRPr="000F697B" w:rsidRDefault="00ED06B3" w:rsidP="00A712F8">
      <w:pPr>
        <w:rPr>
          <w:rFonts w:cs="Arial"/>
        </w:rPr>
      </w:pPr>
    </w:p>
    <w:p w14:paraId="69017D7C" w14:textId="2C7C1686" w:rsidR="00751058" w:rsidRDefault="009F2F80" w:rsidP="00A712F8">
      <w:pPr>
        <w:rPr>
          <w:rFonts w:cs="Arial"/>
        </w:rPr>
      </w:pPr>
      <w:r>
        <w:rPr>
          <w:noProof/>
        </w:rPr>
        <w:lastRenderedPageBreak/>
        <w:drawing>
          <wp:inline distT="0" distB="0" distL="0" distR="0" wp14:anchorId="2F78D4B1" wp14:editId="5B35489C">
            <wp:extent cx="5943600" cy="3381375"/>
            <wp:effectExtent l="0" t="0" r="0" b="9525"/>
            <wp:docPr id="5" name="Chart 5">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70650A" w14:textId="77777777" w:rsidR="00ED06B3" w:rsidRDefault="00ED06B3" w:rsidP="00A712F8">
      <w:pPr>
        <w:rPr>
          <w:rFonts w:cs="Arial"/>
          <w:szCs w:val="22"/>
        </w:rPr>
      </w:pPr>
    </w:p>
    <w:p w14:paraId="779C01FB" w14:textId="3A0821EA" w:rsidR="00D56CC2" w:rsidRPr="000F697B" w:rsidRDefault="00D56CC2" w:rsidP="00A712F8">
      <w:pPr>
        <w:rPr>
          <w:rFonts w:cs="Arial"/>
          <w:szCs w:val="22"/>
        </w:rPr>
      </w:pPr>
      <w:r w:rsidRPr="000F697B">
        <w:rPr>
          <w:rFonts w:cs="Arial"/>
          <w:szCs w:val="22"/>
        </w:rPr>
        <w:t xml:space="preserve">More tables regarding spend can be found on separate worksheets in the excel </w:t>
      </w:r>
      <w:r w:rsidR="006138DD">
        <w:rPr>
          <w:rFonts w:cs="Arial"/>
          <w:szCs w:val="22"/>
        </w:rPr>
        <w:t>workbook</w:t>
      </w:r>
      <w:r w:rsidR="006138DD" w:rsidRPr="000F697B">
        <w:rPr>
          <w:rFonts w:cs="Arial"/>
          <w:szCs w:val="22"/>
        </w:rPr>
        <w:t xml:space="preserve"> </w:t>
      </w:r>
      <w:r w:rsidR="006D15F8" w:rsidRPr="000F697B">
        <w:rPr>
          <w:rFonts w:cs="Arial"/>
          <w:szCs w:val="22"/>
        </w:rPr>
        <w:t>accompanying</w:t>
      </w:r>
      <w:r w:rsidRPr="000F697B">
        <w:rPr>
          <w:rFonts w:cs="Arial"/>
          <w:szCs w:val="22"/>
        </w:rPr>
        <w:t xml:space="preserve"> this report. Tables included:</w:t>
      </w:r>
    </w:p>
    <w:p w14:paraId="3704F3A5" w14:textId="77777777" w:rsidR="00D56CC2" w:rsidRPr="000F697B" w:rsidRDefault="00D56CC2" w:rsidP="00A712F8">
      <w:pPr>
        <w:rPr>
          <w:rFonts w:cs="Arial"/>
          <w:szCs w:val="22"/>
        </w:rPr>
      </w:pPr>
    </w:p>
    <w:p w14:paraId="5403C55A" w14:textId="77777777" w:rsidR="00D56CC2" w:rsidRPr="000F697B" w:rsidRDefault="00D56CC2" w:rsidP="00854A96">
      <w:pPr>
        <w:pStyle w:val="ListParagraph"/>
        <w:numPr>
          <w:ilvl w:val="0"/>
          <w:numId w:val="31"/>
        </w:numPr>
        <w:spacing w:after="0"/>
        <w:rPr>
          <w:rFonts w:cs="Arial"/>
          <w:szCs w:val="22"/>
        </w:rPr>
      </w:pPr>
      <w:r w:rsidRPr="000F697B">
        <w:rPr>
          <w:rFonts w:cs="Arial"/>
          <w:szCs w:val="22"/>
        </w:rPr>
        <w:t>Fiscal Year Totals by Tower</w:t>
      </w:r>
    </w:p>
    <w:p w14:paraId="2FB6E151" w14:textId="77777777" w:rsidR="00D56CC2" w:rsidRPr="000F697B" w:rsidRDefault="00D56CC2" w:rsidP="00854A96">
      <w:pPr>
        <w:pStyle w:val="ListParagraph"/>
        <w:numPr>
          <w:ilvl w:val="0"/>
          <w:numId w:val="31"/>
        </w:numPr>
        <w:spacing w:after="0"/>
        <w:rPr>
          <w:rFonts w:cs="Arial"/>
          <w:szCs w:val="22"/>
        </w:rPr>
      </w:pPr>
      <w:r w:rsidRPr="000F697B">
        <w:rPr>
          <w:rFonts w:cs="Arial"/>
          <w:szCs w:val="22"/>
        </w:rPr>
        <w:t>Fiscal Year Totals by Tower and Agency</w:t>
      </w:r>
    </w:p>
    <w:p w14:paraId="15EEAF2E" w14:textId="77777777" w:rsidR="00D56CC2" w:rsidRPr="000F697B" w:rsidRDefault="00D56CC2" w:rsidP="00854A96">
      <w:pPr>
        <w:pStyle w:val="ListParagraph"/>
        <w:numPr>
          <w:ilvl w:val="0"/>
          <w:numId w:val="31"/>
        </w:numPr>
        <w:spacing w:after="0"/>
        <w:rPr>
          <w:rFonts w:cs="Arial"/>
          <w:szCs w:val="22"/>
        </w:rPr>
      </w:pPr>
      <w:r w:rsidRPr="000F697B">
        <w:rPr>
          <w:rFonts w:cs="Arial"/>
          <w:szCs w:val="22"/>
        </w:rPr>
        <w:t>Number of Contracts by IT Tower</w:t>
      </w:r>
    </w:p>
    <w:p w14:paraId="00C32785" w14:textId="77777777" w:rsidR="00D56CC2" w:rsidRPr="000F697B" w:rsidRDefault="00D56CC2" w:rsidP="00854A96">
      <w:pPr>
        <w:pStyle w:val="ListParagraph"/>
        <w:numPr>
          <w:ilvl w:val="0"/>
          <w:numId w:val="31"/>
        </w:numPr>
        <w:spacing w:after="0"/>
        <w:rPr>
          <w:rFonts w:cs="Arial"/>
          <w:szCs w:val="22"/>
        </w:rPr>
      </w:pPr>
      <w:r w:rsidRPr="000F697B">
        <w:rPr>
          <w:rFonts w:cs="Arial"/>
          <w:szCs w:val="22"/>
        </w:rPr>
        <w:t>Number of Contracts by IT Tower and Agency</w:t>
      </w:r>
    </w:p>
    <w:p w14:paraId="59CFC872" w14:textId="77777777" w:rsidR="00D56CC2" w:rsidRPr="000F697B" w:rsidRDefault="00D56CC2" w:rsidP="00854A96">
      <w:pPr>
        <w:pStyle w:val="ListParagraph"/>
        <w:numPr>
          <w:ilvl w:val="0"/>
          <w:numId w:val="31"/>
        </w:numPr>
        <w:spacing w:after="0"/>
        <w:rPr>
          <w:rFonts w:cs="Arial"/>
          <w:szCs w:val="22"/>
        </w:rPr>
      </w:pPr>
      <w:r w:rsidRPr="000F697B">
        <w:rPr>
          <w:rFonts w:cs="Arial"/>
          <w:szCs w:val="22"/>
        </w:rPr>
        <w:t>Vendors by Tower by Contracts</w:t>
      </w:r>
    </w:p>
    <w:p w14:paraId="1349A0EC" w14:textId="77777777" w:rsidR="00D56CC2" w:rsidRPr="000F697B" w:rsidRDefault="00D56CC2" w:rsidP="00854A96">
      <w:pPr>
        <w:pStyle w:val="ListParagraph"/>
        <w:numPr>
          <w:ilvl w:val="0"/>
          <w:numId w:val="31"/>
        </w:numPr>
        <w:spacing w:after="0"/>
        <w:rPr>
          <w:rFonts w:cs="Arial"/>
          <w:szCs w:val="22"/>
        </w:rPr>
      </w:pPr>
      <w:r w:rsidRPr="000F697B">
        <w:rPr>
          <w:rFonts w:cs="Arial"/>
          <w:szCs w:val="22"/>
        </w:rPr>
        <w:t>Vendors by Tower by Spend</w:t>
      </w:r>
    </w:p>
    <w:p w14:paraId="0AAF4512" w14:textId="77777777" w:rsidR="00D56CC2" w:rsidRPr="000F697B" w:rsidRDefault="00D56CC2" w:rsidP="00A712F8">
      <w:pPr>
        <w:rPr>
          <w:rFonts w:cs="Arial"/>
          <w:szCs w:val="22"/>
        </w:rPr>
      </w:pPr>
    </w:p>
    <w:p w14:paraId="00F97406" w14:textId="64832BA0" w:rsidR="00A712F8" w:rsidRDefault="00A712F8" w:rsidP="00A712F8">
      <w:pPr>
        <w:rPr>
          <w:rFonts w:cs="Arial"/>
          <w:szCs w:val="22"/>
        </w:rPr>
      </w:pPr>
      <w:r w:rsidRPr="000F697B">
        <w:rPr>
          <w:rFonts w:cs="Arial"/>
          <w:szCs w:val="22"/>
        </w:rPr>
        <w:t>The report</w:t>
      </w:r>
      <w:r w:rsidR="006D15F8" w:rsidRPr="000F697B">
        <w:rPr>
          <w:rFonts w:cs="Arial"/>
          <w:szCs w:val="22"/>
        </w:rPr>
        <w:t xml:space="preserve"> template</w:t>
      </w:r>
      <w:r w:rsidRPr="000F697B">
        <w:rPr>
          <w:rFonts w:cs="Arial"/>
          <w:szCs w:val="22"/>
        </w:rPr>
        <w:t xml:space="preserve"> has a field for </w:t>
      </w:r>
      <w:r w:rsidR="008343E3">
        <w:rPr>
          <w:rFonts w:cs="Arial"/>
          <w:szCs w:val="22"/>
        </w:rPr>
        <w:t>a</w:t>
      </w:r>
      <w:r w:rsidRPr="000F697B">
        <w:rPr>
          <w:rFonts w:cs="Arial"/>
          <w:szCs w:val="22"/>
        </w:rPr>
        <w:t xml:space="preserve">gencies and </w:t>
      </w:r>
      <w:r w:rsidR="008343E3">
        <w:rPr>
          <w:rFonts w:cs="Arial"/>
          <w:szCs w:val="22"/>
        </w:rPr>
        <w:t>institut</w:t>
      </w:r>
      <w:r w:rsidR="001E1AE7">
        <w:rPr>
          <w:rFonts w:cs="Arial"/>
          <w:szCs w:val="22"/>
        </w:rPr>
        <w:t>ions</w:t>
      </w:r>
      <w:r w:rsidR="008343E3">
        <w:rPr>
          <w:rFonts w:cs="Arial"/>
          <w:szCs w:val="22"/>
        </w:rPr>
        <w:t xml:space="preserve"> of h</w:t>
      </w:r>
      <w:r w:rsidRPr="000F697B">
        <w:rPr>
          <w:rFonts w:cs="Arial"/>
          <w:szCs w:val="22"/>
        </w:rPr>
        <w:t xml:space="preserve">igher </w:t>
      </w:r>
      <w:r w:rsidR="008343E3">
        <w:rPr>
          <w:rFonts w:cs="Arial"/>
          <w:szCs w:val="22"/>
        </w:rPr>
        <w:t>e</w:t>
      </w:r>
      <w:r w:rsidRPr="000F697B">
        <w:rPr>
          <w:rFonts w:cs="Arial"/>
          <w:szCs w:val="22"/>
        </w:rPr>
        <w:t xml:space="preserve">ducation to indicate if a contract is a </w:t>
      </w:r>
      <w:r w:rsidR="001E1AE7">
        <w:rPr>
          <w:rFonts w:cs="Arial"/>
          <w:szCs w:val="22"/>
        </w:rPr>
        <w:t>m</w:t>
      </w:r>
      <w:r w:rsidRPr="000F697B">
        <w:rPr>
          <w:rFonts w:cs="Arial"/>
          <w:szCs w:val="22"/>
        </w:rPr>
        <w:t xml:space="preserve">aster </w:t>
      </w:r>
      <w:r w:rsidR="001E1AE7">
        <w:rPr>
          <w:rFonts w:cs="Arial"/>
          <w:szCs w:val="22"/>
        </w:rPr>
        <w:t>c</w:t>
      </w:r>
      <w:r w:rsidRPr="000F697B">
        <w:rPr>
          <w:rFonts w:cs="Arial"/>
          <w:szCs w:val="22"/>
        </w:rPr>
        <w:t>ontract or not</w:t>
      </w:r>
      <w:r w:rsidR="00BF24CD">
        <w:rPr>
          <w:rFonts w:cs="Arial"/>
          <w:szCs w:val="22"/>
        </w:rPr>
        <w:t>.</w:t>
      </w:r>
      <w:r w:rsidRPr="000F697B">
        <w:rPr>
          <w:rFonts w:cs="Arial"/>
          <w:szCs w:val="22"/>
        </w:rPr>
        <w:t xml:space="preserve"> </w:t>
      </w:r>
      <w:r w:rsidR="00BF24CD">
        <w:rPr>
          <w:rFonts w:cs="Arial"/>
          <w:szCs w:val="22"/>
        </w:rPr>
        <w:t>T</w:t>
      </w:r>
      <w:r w:rsidRPr="000F697B">
        <w:rPr>
          <w:rFonts w:cs="Arial"/>
          <w:szCs w:val="22"/>
        </w:rPr>
        <w:t xml:space="preserve">he tables below compare the vendor spend reported in the IT Contract Report by </w:t>
      </w:r>
      <w:r w:rsidR="001E1AE7">
        <w:rPr>
          <w:rFonts w:cs="Arial"/>
          <w:szCs w:val="22"/>
        </w:rPr>
        <w:t>a</w:t>
      </w:r>
      <w:r w:rsidRPr="000F697B">
        <w:rPr>
          <w:rFonts w:cs="Arial"/>
          <w:szCs w:val="22"/>
        </w:rPr>
        <w:t xml:space="preserve">gencies and </w:t>
      </w:r>
      <w:r w:rsidR="001E1AE7">
        <w:rPr>
          <w:rFonts w:cs="Arial"/>
          <w:szCs w:val="22"/>
        </w:rPr>
        <w:t>institutions of h</w:t>
      </w:r>
      <w:r w:rsidRPr="000F697B">
        <w:rPr>
          <w:rFonts w:cs="Arial"/>
          <w:szCs w:val="22"/>
        </w:rPr>
        <w:t xml:space="preserve">igher </w:t>
      </w:r>
      <w:r w:rsidR="001E1AE7">
        <w:rPr>
          <w:rFonts w:cs="Arial"/>
          <w:szCs w:val="22"/>
        </w:rPr>
        <w:t>e</w:t>
      </w:r>
      <w:r w:rsidRPr="000F697B">
        <w:rPr>
          <w:rFonts w:cs="Arial"/>
          <w:szCs w:val="22"/>
        </w:rPr>
        <w:t>ducation</w:t>
      </w:r>
      <w:r w:rsidR="00295DC5" w:rsidRPr="000F697B">
        <w:rPr>
          <w:rFonts w:cs="Arial"/>
          <w:szCs w:val="22"/>
        </w:rPr>
        <w:t xml:space="preserve"> to what was reported by </w:t>
      </w:r>
      <w:r w:rsidR="001E1AE7">
        <w:rPr>
          <w:rFonts w:cs="Arial"/>
          <w:szCs w:val="22"/>
        </w:rPr>
        <w:t>m</w:t>
      </w:r>
      <w:r w:rsidR="00295DC5" w:rsidRPr="000F697B">
        <w:rPr>
          <w:rFonts w:cs="Arial"/>
          <w:szCs w:val="22"/>
        </w:rPr>
        <w:t xml:space="preserve">aster </w:t>
      </w:r>
      <w:r w:rsidR="001E1AE7">
        <w:rPr>
          <w:rFonts w:cs="Arial"/>
          <w:szCs w:val="22"/>
        </w:rPr>
        <w:t>c</w:t>
      </w:r>
      <w:r w:rsidR="00295DC5" w:rsidRPr="000F697B">
        <w:rPr>
          <w:rFonts w:cs="Arial"/>
          <w:szCs w:val="22"/>
        </w:rPr>
        <w:t>ontract vendors</w:t>
      </w:r>
      <w:r w:rsidRPr="000F697B">
        <w:rPr>
          <w:rFonts w:cs="Arial"/>
          <w:szCs w:val="22"/>
        </w:rPr>
        <w:t xml:space="preserve">. </w:t>
      </w:r>
    </w:p>
    <w:p w14:paraId="172D7298" w14:textId="77777777" w:rsidR="00374478" w:rsidRPr="000F697B" w:rsidRDefault="00374478" w:rsidP="00A712F8">
      <w:pPr>
        <w:rPr>
          <w:rFonts w:cs="Arial"/>
          <w:szCs w:val="22"/>
        </w:rPr>
      </w:pPr>
    </w:p>
    <w:tbl>
      <w:tblPr>
        <w:tblW w:w="5000" w:type="pct"/>
        <w:tblLook w:val="04A0" w:firstRow="1" w:lastRow="0" w:firstColumn="1" w:lastColumn="0" w:noHBand="0" w:noVBand="1"/>
      </w:tblPr>
      <w:tblGrid>
        <w:gridCol w:w="6781"/>
        <w:gridCol w:w="2569"/>
      </w:tblGrid>
      <w:tr w:rsidR="00445AC2" w:rsidRPr="00445AC2" w14:paraId="65E5F0BF" w14:textId="77777777" w:rsidTr="003E58F8">
        <w:trPr>
          <w:trHeight w:val="300"/>
        </w:trPr>
        <w:tc>
          <w:tcPr>
            <w:tcW w:w="3626" w:type="pct"/>
            <w:tcBorders>
              <w:top w:val="single" w:sz="4" w:space="0" w:color="C9C9C9"/>
              <w:left w:val="single" w:sz="4" w:space="0" w:color="C9C9C9"/>
              <w:bottom w:val="single" w:sz="4" w:space="0" w:color="C9C9C9"/>
              <w:right w:val="nil"/>
            </w:tcBorders>
            <w:shd w:val="clear" w:color="A5A5A5" w:fill="A5A5A5"/>
            <w:noWrap/>
            <w:vAlign w:val="bottom"/>
            <w:hideMark/>
          </w:tcPr>
          <w:p w14:paraId="47C3259D" w14:textId="77777777" w:rsidR="00445AC2" w:rsidRPr="00445AC2" w:rsidRDefault="00445AC2" w:rsidP="00445AC2">
            <w:pPr>
              <w:widowControl/>
              <w:autoSpaceDE/>
              <w:autoSpaceDN/>
              <w:adjustRightInd/>
              <w:jc w:val="center"/>
              <w:rPr>
                <w:rFonts w:eastAsia="Times New Roman" w:cs="Arial"/>
                <w:b/>
                <w:bCs/>
                <w:color w:val="FFFFFF"/>
                <w:szCs w:val="22"/>
              </w:rPr>
            </w:pPr>
            <w:r w:rsidRPr="00445AC2">
              <w:rPr>
                <w:rFonts w:eastAsia="Times New Roman" w:cs="Arial"/>
                <w:b/>
                <w:bCs/>
                <w:color w:val="FFFFFF"/>
                <w:szCs w:val="22"/>
              </w:rPr>
              <w:t>Report</w:t>
            </w:r>
          </w:p>
        </w:tc>
        <w:tc>
          <w:tcPr>
            <w:tcW w:w="1374" w:type="pct"/>
            <w:tcBorders>
              <w:top w:val="single" w:sz="4" w:space="0" w:color="C9C9C9"/>
              <w:left w:val="nil"/>
              <w:bottom w:val="single" w:sz="4" w:space="0" w:color="C9C9C9"/>
              <w:right w:val="single" w:sz="4" w:space="0" w:color="C9C9C9"/>
            </w:tcBorders>
            <w:shd w:val="clear" w:color="A5A5A5" w:fill="A5A5A5"/>
            <w:noWrap/>
            <w:vAlign w:val="bottom"/>
            <w:hideMark/>
          </w:tcPr>
          <w:p w14:paraId="2486E402" w14:textId="77777777" w:rsidR="00445AC2" w:rsidRPr="00445AC2" w:rsidRDefault="00445AC2" w:rsidP="00445AC2">
            <w:pPr>
              <w:widowControl/>
              <w:autoSpaceDE/>
              <w:autoSpaceDN/>
              <w:adjustRightInd/>
              <w:jc w:val="center"/>
              <w:rPr>
                <w:rFonts w:eastAsia="Times New Roman" w:cs="Arial"/>
                <w:b/>
                <w:bCs/>
                <w:color w:val="FFFFFF"/>
                <w:szCs w:val="22"/>
              </w:rPr>
            </w:pPr>
            <w:r w:rsidRPr="00445AC2">
              <w:rPr>
                <w:rFonts w:eastAsia="Times New Roman" w:cs="Arial"/>
                <w:b/>
                <w:bCs/>
                <w:color w:val="FFFFFF"/>
                <w:szCs w:val="22"/>
              </w:rPr>
              <w:t>FY21 Spend</w:t>
            </w:r>
          </w:p>
        </w:tc>
      </w:tr>
      <w:tr w:rsidR="00445AC2" w:rsidRPr="00445AC2" w14:paraId="20E25DDF" w14:textId="77777777" w:rsidTr="003E58F8">
        <w:trPr>
          <w:trHeight w:val="285"/>
        </w:trPr>
        <w:tc>
          <w:tcPr>
            <w:tcW w:w="3626" w:type="pct"/>
            <w:tcBorders>
              <w:top w:val="single" w:sz="4" w:space="0" w:color="C9C9C9"/>
              <w:left w:val="single" w:sz="4" w:space="0" w:color="C9C9C9"/>
              <w:bottom w:val="single" w:sz="4" w:space="0" w:color="C9C9C9"/>
              <w:right w:val="nil"/>
            </w:tcBorders>
            <w:shd w:val="clear" w:color="EDEDED" w:fill="EDEDED"/>
            <w:noWrap/>
            <w:vAlign w:val="bottom"/>
            <w:hideMark/>
          </w:tcPr>
          <w:p w14:paraId="4151CF4A" w14:textId="77777777" w:rsidR="00445AC2" w:rsidRPr="00445AC2" w:rsidRDefault="00445AC2" w:rsidP="00445AC2">
            <w:pPr>
              <w:widowControl/>
              <w:autoSpaceDE/>
              <w:autoSpaceDN/>
              <w:adjustRightInd/>
              <w:rPr>
                <w:rFonts w:eastAsia="Times New Roman" w:cs="Arial"/>
                <w:color w:val="000000"/>
                <w:szCs w:val="22"/>
              </w:rPr>
            </w:pPr>
            <w:r w:rsidRPr="00445AC2">
              <w:rPr>
                <w:rFonts w:eastAsia="Times New Roman" w:cs="Arial"/>
                <w:color w:val="000000"/>
                <w:szCs w:val="22"/>
              </w:rPr>
              <w:t>IT Master Contract's Spend</w:t>
            </w:r>
          </w:p>
        </w:tc>
        <w:tc>
          <w:tcPr>
            <w:tcW w:w="1374" w:type="pct"/>
            <w:tcBorders>
              <w:top w:val="single" w:sz="4" w:space="0" w:color="C9C9C9"/>
              <w:left w:val="nil"/>
              <w:bottom w:val="single" w:sz="4" w:space="0" w:color="C9C9C9"/>
              <w:right w:val="single" w:sz="4" w:space="0" w:color="C9C9C9"/>
            </w:tcBorders>
            <w:shd w:val="clear" w:color="EDEDED" w:fill="EDEDED"/>
            <w:noWrap/>
            <w:vAlign w:val="bottom"/>
            <w:hideMark/>
          </w:tcPr>
          <w:p w14:paraId="7A8A260B" w14:textId="77777777" w:rsidR="00445AC2" w:rsidRPr="00445AC2" w:rsidRDefault="00445AC2" w:rsidP="00445AC2">
            <w:pPr>
              <w:widowControl/>
              <w:autoSpaceDE/>
              <w:autoSpaceDN/>
              <w:adjustRightInd/>
              <w:rPr>
                <w:rFonts w:eastAsia="Times New Roman" w:cs="Arial"/>
                <w:color w:val="000000"/>
                <w:szCs w:val="22"/>
              </w:rPr>
            </w:pPr>
            <w:r w:rsidRPr="00445AC2">
              <w:rPr>
                <w:rFonts w:eastAsia="Times New Roman" w:cs="Arial"/>
                <w:color w:val="000000"/>
                <w:szCs w:val="22"/>
              </w:rPr>
              <w:t xml:space="preserve"> $            270,145,296 </w:t>
            </w:r>
          </w:p>
        </w:tc>
      </w:tr>
      <w:tr w:rsidR="00445AC2" w:rsidRPr="00445AC2" w14:paraId="26DB6610" w14:textId="77777777" w:rsidTr="003E58F8">
        <w:trPr>
          <w:trHeight w:val="285"/>
        </w:trPr>
        <w:tc>
          <w:tcPr>
            <w:tcW w:w="3626" w:type="pct"/>
            <w:tcBorders>
              <w:top w:val="single" w:sz="4" w:space="0" w:color="C9C9C9"/>
              <w:left w:val="single" w:sz="4" w:space="0" w:color="C9C9C9"/>
              <w:bottom w:val="single" w:sz="4" w:space="0" w:color="C9C9C9"/>
              <w:right w:val="nil"/>
            </w:tcBorders>
            <w:shd w:val="clear" w:color="auto" w:fill="auto"/>
            <w:noWrap/>
            <w:vAlign w:val="bottom"/>
            <w:hideMark/>
          </w:tcPr>
          <w:p w14:paraId="273800D1" w14:textId="77777777" w:rsidR="00445AC2" w:rsidRPr="00445AC2" w:rsidRDefault="00445AC2" w:rsidP="00445AC2">
            <w:pPr>
              <w:widowControl/>
              <w:autoSpaceDE/>
              <w:autoSpaceDN/>
              <w:adjustRightInd/>
              <w:rPr>
                <w:rFonts w:eastAsia="Times New Roman" w:cs="Arial"/>
                <w:color w:val="000000"/>
                <w:szCs w:val="22"/>
              </w:rPr>
            </w:pPr>
            <w:r w:rsidRPr="00445AC2">
              <w:rPr>
                <w:rFonts w:eastAsia="Times New Roman" w:cs="Arial"/>
                <w:color w:val="000000"/>
                <w:szCs w:val="22"/>
              </w:rPr>
              <w:t>IT Contract Master Contract's Total Spend</w:t>
            </w:r>
          </w:p>
        </w:tc>
        <w:tc>
          <w:tcPr>
            <w:tcW w:w="1374" w:type="pct"/>
            <w:tcBorders>
              <w:top w:val="single" w:sz="4" w:space="0" w:color="C9C9C9"/>
              <w:left w:val="nil"/>
              <w:bottom w:val="single" w:sz="4" w:space="0" w:color="C9C9C9"/>
              <w:right w:val="single" w:sz="4" w:space="0" w:color="C9C9C9"/>
            </w:tcBorders>
            <w:shd w:val="clear" w:color="auto" w:fill="auto"/>
            <w:noWrap/>
            <w:vAlign w:val="bottom"/>
            <w:hideMark/>
          </w:tcPr>
          <w:p w14:paraId="2A840C5F" w14:textId="77777777" w:rsidR="00445AC2" w:rsidRPr="00445AC2" w:rsidRDefault="00445AC2" w:rsidP="00445AC2">
            <w:pPr>
              <w:widowControl/>
              <w:autoSpaceDE/>
              <w:autoSpaceDN/>
              <w:adjustRightInd/>
              <w:rPr>
                <w:rFonts w:eastAsia="Times New Roman" w:cs="Arial"/>
                <w:color w:val="000000"/>
                <w:szCs w:val="22"/>
              </w:rPr>
            </w:pPr>
            <w:r w:rsidRPr="00445AC2">
              <w:rPr>
                <w:rFonts w:eastAsia="Times New Roman" w:cs="Arial"/>
                <w:color w:val="000000"/>
                <w:szCs w:val="22"/>
              </w:rPr>
              <w:t xml:space="preserve"> $            359,921,472 </w:t>
            </w:r>
          </w:p>
        </w:tc>
      </w:tr>
      <w:tr w:rsidR="00445AC2" w:rsidRPr="00445AC2" w14:paraId="6517661A" w14:textId="77777777" w:rsidTr="003E58F8">
        <w:trPr>
          <w:trHeight w:val="285"/>
        </w:trPr>
        <w:tc>
          <w:tcPr>
            <w:tcW w:w="3626" w:type="pct"/>
            <w:tcBorders>
              <w:top w:val="double" w:sz="6" w:space="0" w:color="A5A5A5"/>
              <w:left w:val="single" w:sz="4" w:space="0" w:color="C9C9C9"/>
              <w:bottom w:val="single" w:sz="4" w:space="0" w:color="C9C9C9"/>
              <w:right w:val="nil"/>
            </w:tcBorders>
            <w:shd w:val="clear" w:color="auto" w:fill="auto"/>
            <w:noWrap/>
            <w:vAlign w:val="bottom"/>
            <w:hideMark/>
          </w:tcPr>
          <w:p w14:paraId="49E74D94" w14:textId="77777777" w:rsidR="00445AC2" w:rsidRPr="00445AC2" w:rsidRDefault="00445AC2" w:rsidP="00445AC2">
            <w:pPr>
              <w:widowControl/>
              <w:autoSpaceDE/>
              <w:autoSpaceDN/>
              <w:adjustRightInd/>
              <w:rPr>
                <w:rFonts w:eastAsia="Times New Roman" w:cs="Arial"/>
                <w:b/>
                <w:bCs/>
                <w:color w:val="000000"/>
                <w:szCs w:val="22"/>
              </w:rPr>
            </w:pPr>
            <w:r w:rsidRPr="00445AC2">
              <w:rPr>
                <w:rFonts w:eastAsia="Times New Roman" w:cs="Arial"/>
                <w:b/>
                <w:bCs/>
                <w:color w:val="000000"/>
                <w:szCs w:val="22"/>
              </w:rPr>
              <w:t>Total</w:t>
            </w:r>
          </w:p>
        </w:tc>
        <w:tc>
          <w:tcPr>
            <w:tcW w:w="1374" w:type="pct"/>
            <w:tcBorders>
              <w:top w:val="double" w:sz="6" w:space="0" w:color="A5A5A5"/>
              <w:left w:val="nil"/>
              <w:bottom w:val="single" w:sz="4" w:space="0" w:color="C9C9C9"/>
              <w:right w:val="single" w:sz="4" w:space="0" w:color="C9C9C9"/>
            </w:tcBorders>
            <w:shd w:val="clear" w:color="auto" w:fill="auto"/>
            <w:noWrap/>
            <w:vAlign w:val="bottom"/>
            <w:hideMark/>
          </w:tcPr>
          <w:p w14:paraId="4997F178" w14:textId="77777777" w:rsidR="00445AC2" w:rsidRPr="00445AC2" w:rsidRDefault="00445AC2" w:rsidP="00445AC2">
            <w:pPr>
              <w:widowControl/>
              <w:autoSpaceDE/>
              <w:autoSpaceDN/>
              <w:adjustRightInd/>
              <w:rPr>
                <w:rFonts w:eastAsia="Times New Roman" w:cs="Arial"/>
                <w:b/>
                <w:bCs/>
                <w:color w:val="000000"/>
                <w:szCs w:val="22"/>
              </w:rPr>
            </w:pPr>
            <w:r w:rsidRPr="00445AC2">
              <w:rPr>
                <w:rFonts w:eastAsia="Times New Roman" w:cs="Arial"/>
                <w:b/>
                <w:bCs/>
                <w:color w:val="000000"/>
                <w:szCs w:val="22"/>
              </w:rPr>
              <w:t xml:space="preserve"> $         </w:t>
            </w:r>
            <w:proofErr w:type="gramStart"/>
            <w:r w:rsidRPr="00445AC2">
              <w:rPr>
                <w:rFonts w:eastAsia="Times New Roman" w:cs="Arial"/>
                <w:b/>
                <w:bCs/>
                <w:color w:val="000000"/>
                <w:szCs w:val="22"/>
              </w:rPr>
              <w:t xml:space="preserve">   (</w:t>
            </w:r>
            <w:proofErr w:type="gramEnd"/>
            <w:r w:rsidRPr="00445AC2">
              <w:rPr>
                <w:rFonts w:eastAsia="Times New Roman" w:cs="Arial"/>
                <w:b/>
                <w:bCs/>
                <w:color w:val="000000"/>
                <w:szCs w:val="22"/>
              </w:rPr>
              <w:t>89,776,176)</w:t>
            </w:r>
          </w:p>
        </w:tc>
      </w:tr>
    </w:tbl>
    <w:p w14:paraId="3FA29857" w14:textId="77777777" w:rsidR="00770757" w:rsidRPr="00733D15" w:rsidRDefault="00295DC5" w:rsidP="00770757">
      <w:pPr>
        <w:pStyle w:val="Heading1"/>
        <w:rPr>
          <w:rFonts w:cs="Arial"/>
        </w:rPr>
      </w:pPr>
      <w:r w:rsidRPr="00733D15">
        <w:rPr>
          <w:rFonts w:cs="Arial"/>
        </w:rPr>
        <w:t>D</w:t>
      </w:r>
      <w:r w:rsidR="00B70C61" w:rsidRPr="00733D15">
        <w:rPr>
          <w:rFonts w:cs="Arial"/>
        </w:rPr>
        <w:t xml:space="preserve">ES IT </w:t>
      </w:r>
      <w:r w:rsidRPr="00733D15">
        <w:rPr>
          <w:rFonts w:cs="Arial"/>
        </w:rPr>
        <w:t xml:space="preserve">Master </w:t>
      </w:r>
      <w:r w:rsidR="00B70C61" w:rsidRPr="00733D15">
        <w:rPr>
          <w:rFonts w:cs="Arial"/>
        </w:rPr>
        <w:t>Contracts Portfolio Summary</w:t>
      </w:r>
    </w:p>
    <w:p w14:paraId="5BBB16DF" w14:textId="2548D1A3" w:rsidR="00B70C61" w:rsidRPr="000F697B" w:rsidRDefault="00B70C61" w:rsidP="00B70C61">
      <w:pPr>
        <w:jc w:val="both"/>
        <w:rPr>
          <w:rFonts w:cs="Arial"/>
          <w:szCs w:val="22"/>
        </w:rPr>
      </w:pPr>
      <w:r w:rsidRPr="000F697B">
        <w:rPr>
          <w:rFonts w:cs="Arial"/>
          <w:szCs w:val="22"/>
        </w:rPr>
        <w:t xml:space="preserve">DES has a portfolio of master contracts with </w:t>
      </w:r>
      <w:r w:rsidR="00D92926" w:rsidRPr="000F697B">
        <w:rPr>
          <w:rFonts w:cs="Arial"/>
          <w:szCs w:val="22"/>
        </w:rPr>
        <w:t>800</w:t>
      </w:r>
      <w:r w:rsidRPr="000F697B">
        <w:rPr>
          <w:rFonts w:cs="Arial"/>
          <w:szCs w:val="22"/>
        </w:rPr>
        <w:t xml:space="preserve"> IT vendors </w:t>
      </w:r>
      <w:r w:rsidR="00BA3A5B">
        <w:rPr>
          <w:rFonts w:cs="Arial"/>
          <w:szCs w:val="22"/>
        </w:rPr>
        <w:t>that</w:t>
      </w:r>
      <w:r w:rsidR="00BA3A5B" w:rsidRPr="000F697B">
        <w:rPr>
          <w:rFonts w:cs="Arial"/>
          <w:szCs w:val="22"/>
        </w:rPr>
        <w:t xml:space="preserve"> </w:t>
      </w:r>
      <w:r w:rsidRPr="000F697B">
        <w:rPr>
          <w:rFonts w:cs="Arial"/>
          <w:szCs w:val="22"/>
        </w:rPr>
        <w:t>covers about 25 different IT commodities. The total Fiscal Year (FY) 202</w:t>
      </w:r>
      <w:r w:rsidR="008A55FC">
        <w:rPr>
          <w:rFonts w:cs="Arial"/>
          <w:szCs w:val="22"/>
        </w:rPr>
        <w:t>1</w:t>
      </w:r>
      <w:r w:rsidRPr="000F697B">
        <w:rPr>
          <w:rFonts w:cs="Arial"/>
          <w:szCs w:val="22"/>
        </w:rPr>
        <w:t xml:space="preserve"> </w:t>
      </w:r>
      <w:r w:rsidR="00BF24CD">
        <w:rPr>
          <w:rFonts w:cs="Arial"/>
          <w:szCs w:val="22"/>
        </w:rPr>
        <w:t xml:space="preserve">IT master contracts </w:t>
      </w:r>
      <w:r w:rsidRPr="000F697B">
        <w:rPr>
          <w:rFonts w:cs="Arial"/>
          <w:szCs w:val="22"/>
        </w:rPr>
        <w:t>spend by all state agencies, institutions of higher education, political subdivisions, and qualified non-profit organizations was approximately $</w:t>
      </w:r>
      <w:r w:rsidR="00EC32BB">
        <w:rPr>
          <w:rFonts w:cs="Arial"/>
          <w:szCs w:val="22"/>
        </w:rPr>
        <w:t>602</w:t>
      </w:r>
      <w:r w:rsidRPr="000F697B">
        <w:rPr>
          <w:rFonts w:cs="Arial"/>
          <w:szCs w:val="22"/>
        </w:rPr>
        <w:t xml:space="preserve"> million</w:t>
      </w:r>
      <w:r w:rsidR="00E749F5" w:rsidRPr="000F697B">
        <w:rPr>
          <w:rFonts w:cs="Arial"/>
          <w:szCs w:val="22"/>
        </w:rPr>
        <w:t>, an increase of approximately $</w:t>
      </w:r>
      <w:r w:rsidR="00EC32BB">
        <w:rPr>
          <w:rFonts w:cs="Arial"/>
          <w:szCs w:val="22"/>
        </w:rPr>
        <w:t>28</w:t>
      </w:r>
      <w:r w:rsidR="00E749F5" w:rsidRPr="000F697B">
        <w:rPr>
          <w:rFonts w:cs="Arial"/>
          <w:szCs w:val="22"/>
        </w:rPr>
        <w:t xml:space="preserve"> million from the prior fiscal year</w:t>
      </w:r>
      <w:r w:rsidRPr="000F697B">
        <w:rPr>
          <w:rFonts w:cs="Arial"/>
          <w:szCs w:val="22"/>
        </w:rPr>
        <w:t xml:space="preserve">.  State agencies and institutions of higher education are responsible for approximately </w:t>
      </w:r>
      <w:r w:rsidR="00E749F5" w:rsidRPr="000F697B">
        <w:rPr>
          <w:rFonts w:cs="Arial"/>
          <w:szCs w:val="22"/>
        </w:rPr>
        <w:t>45</w:t>
      </w:r>
      <w:r w:rsidR="00104A6D">
        <w:rPr>
          <w:rFonts w:cs="Arial"/>
          <w:szCs w:val="22"/>
        </w:rPr>
        <w:t>%</w:t>
      </w:r>
      <w:r w:rsidR="00BA3A5B">
        <w:rPr>
          <w:rFonts w:cs="Arial"/>
          <w:szCs w:val="22"/>
        </w:rPr>
        <w:t xml:space="preserve"> </w:t>
      </w:r>
      <w:r w:rsidRPr="000F697B">
        <w:rPr>
          <w:rFonts w:cs="Arial"/>
          <w:szCs w:val="22"/>
        </w:rPr>
        <w:t xml:space="preserve">of this </w:t>
      </w:r>
      <w:r w:rsidRPr="000F697B">
        <w:rPr>
          <w:rFonts w:cs="Arial"/>
          <w:szCs w:val="22"/>
        </w:rPr>
        <w:lastRenderedPageBreak/>
        <w:t>annual fiscal contract spend. The tables below have been included to give a total picture of all DES customer spend as well as tables breaking down the information into the categories of “State Agencies and Higher Education” and “Political Subdivisions and Qualified Non-Profits.”</w:t>
      </w:r>
    </w:p>
    <w:p w14:paraId="33695DFA" w14:textId="77777777" w:rsidR="006122AB" w:rsidRPr="000F697B" w:rsidRDefault="006122AB" w:rsidP="00B70C61">
      <w:pPr>
        <w:jc w:val="both"/>
        <w:rPr>
          <w:rFonts w:cs="Arial"/>
          <w:szCs w:val="22"/>
        </w:rPr>
      </w:pPr>
    </w:p>
    <w:p w14:paraId="6C47080C" w14:textId="03A77A10" w:rsidR="006122AB" w:rsidRPr="000F697B" w:rsidRDefault="006122AB" w:rsidP="006122AB">
      <w:pPr>
        <w:rPr>
          <w:rFonts w:cs="Arial"/>
          <w:b/>
          <w:szCs w:val="20"/>
        </w:rPr>
      </w:pPr>
      <w:r w:rsidRPr="000F697B">
        <w:rPr>
          <w:rFonts w:cs="Arial"/>
          <w:b/>
          <w:szCs w:val="20"/>
        </w:rPr>
        <w:t>FY2</w:t>
      </w:r>
      <w:r w:rsidR="003773DC">
        <w:rPr>
          <w:rFonts w:cs="Arial"/>
          <w:b/>
          <w:szCs w:val="20"/>
        </w:rPr>
        <w:t>1</w:t>
      </w:r>
      <w:r w:rsidRPr="000F697B">
        <w:rPr>
          <w:rFonts w:cs="Arial"/>
          <w:b/>
          <w:szCs w:val="20"/>
        </w:rPr>
        <w:t xml:space="preserve"> Top IT Master Contracts by Spend</w:t>
      </w:r>
    </w:p>
    <w:p w14:paraId="7C0CB874" w14:textId="77777777" w:rsidR="006122AB" w:rsidRPr="000F697B" w:rsidRDefault="006122AB" w:rsidP="006122AB">
      <w:pPr>
        <w:rPr>
          <w:rFonts w:cs="Arial"/>
          <w:b/>
          <w:szCs w:val="20"/>
        </w:rPr>
      </w:pPr>
    </w:p>
    <w:p w14:paraId="0F0D4356" w14:textId="4FE571D0" w:rsidR="006122AB" w:rsidRDefault="006122AB" w:rsidP="006122AB">
      <w:pPr>
        <w:rPr>
          <w:rFonts w:eastAsia="Times New Roman" w:cs="Arial"/>
          <w:bCs/>
          <w:szCs w:val="20"/>
        </w:rPr>
      </w:pPr>
      <w:r w:rsidRPr="000F697B">
        <w:rPr>
          <w:rFonts w:eastAsia="Times New Roman" w:cs="Arial"/>
          <w:b/>
          <w:bCs/>
          <w:szCs w:val="20"/>
        </w:rPr>
        <w:t>All Customer Summary</w:t>
      </w:r>
      <w:r w:rsidRPr="000F697B">
        <w:rPr>
          <w:rFonts w:eastAsia="Times New Roman" w:cs="Arial"/>
          <w:bCs/>
          <w:szCs w:val="20"/>
        </w:rPr>
        <w:t xml:space="preserve"> </w:t>
      </w:r>
    </w:p>
    <w:p w14:paraId="77DE258E" w14:textId="77777777" w:rsidR="00374478" w:rsidRPr="000F697B" w:rsidRDefault="00374478" w:rsidP="00B70C61">
      <w:pPr>
        <w:jc w:val="both"/>
        <w:rPr>
          <w:rFonts w:cs="Arial"/>
        </w:rPr>
      </w:pPr>
    </w:p>
    <w:tbl>
      <w:tblPr>
        <w:tblW w:w="5099" w:type="pct"/>
        <w:tblLayout w:type="fixed"/>
        <w:tblLook w:val="04A0" w:firstRow="1" w:lastRow="0" w:firstColumn="1" w:lastColumn="0" w:noHBand="0" w:noVBand="1"/>
      </w:tblPr>
      <w:tblGrid>
        <w:gridCol w:w="4855"/>
        <w:gridCol w:w="2069"/>
        <w:gridCol w:w="2611"/>
      </w:tblGrid>
      <w:tr w:rsidR="001B5D23" w:rsidRPr="00EC32BB" w14:paraId="2583B752" w14:textId="77777777" w:rsidTr="001B5D23">
        <w:trPr>
          <w:trHeight w:val="300"/>
        </w:trPr>
        <w:tc>
          <w:tcPr>
            <w:tcW w:w="2546" w:type="pct"/>
            <w:tcBorders>
              <w:top w:val="single" w:sz="4" w:space="0" w:color="C9C9C9"/>
              <w:left w:val="single" w:sz="4" w:space="0" w:color="C9C9C9"/>
              <w:bottom w:val="single" w:sz="4" w:space="0" w:color="C9C9C9"/>
              <w:right w:val="nil"/>
            </w:tcBorders>
            <w:shd w:val="clear" w:color="A5A5A5" w:fill="A5A5A5"/>
            <w:noWrap/>
            <w:vAlign w:val="bottom"/>
            <w:hideMark/>
          </w:tcPr>
          <w:p w14:paraId="20F0B1E0" w14:textId="77777777" w:rsidR="00EC32BB" w:rsidRPr="00EC32BB" w:rsidRDefault="00EC32BB" w:rsidP="00EC32BB">
            <w:pPr>
              <w:widowControl/>
              <w:autoSpaceDE/>
              <w:autoSpaceDN/>
              <w:adjustRightInd/>
              <w:rPr>
                <w:rFonts w:eastAsia="Times New Roman" w:cs="Arial"/>
                <w:b/>
                <w:bCs/>
                <w:color w:val="FFFFFF"/>
                <w:szCs w:val="22"/>
              </w:rPr>
            </w:pPr>
            <w:r w:rsidRPr="00EC32BB">
              <w:rPr>
                <w:rFonts w:eastAsia="Times New Roman" w:cs="Arial"/>
                <w:b/>
                <w:bCs/>
                <w:color w:val="FFFFFF"/>
                <w:szCs w:val="22"/>
              </w:rPr>
              <w:t>Contract Title</w:t>
            </w:r>
          </w:p>
        </w:tc>
        <w:tc>
          <w:tcPr>
            <w:tcW w:w="1085" w:type="pct"/>
            <w:tcBorders>
              <w:top w:val="single" w:sz="4" w:space="0" w:color="C9C9C9"/>
              <w:left w:val="nil"/>
              <w:bottom w:val="single" w:sz="4" w:space="0" w:color="C9C9C9"/>
              <w:right w:val="nil"/>
            </w:tcBorders>
            <w:shd w:val="clear" w:color="A5A5A5" w:fill="A5A5A5"/>
            <w:noWrap/>
            <w:vAlign w:val="bottom"/>
            <w:hideMark/>
          </w:tcPr>
          <w:p w14:paraId="4CE4ABB3" w14:textId="77777777" w:rsidR="00EC32BB" w:rsidRPr="00EC32BB" w:rsidRDefault="00EC32BB" w:rsidP="00EC32BB">
            <w:pPr>
              <w:widowControl/>
              <w:autoSpaceDE/>
              <w:autoSpaceDN/>
              <w:adjustRightInd/>
              <w:jc w:val="center"/>
              <w:rPr>
                <w:rFonts w:eastAsia="Times New Roman" w:cs="Arial"/>
                <w:b/>
                <w:bCs/>
                <w:color w:val="FFFFFF"/>
                <w:szCs w:val="22"/>
              </w:rPr>
            </w:pPr>
            <w:r w:rsidRPr="00EC32BB">
              <w:rPr>
                <w:rFonts w:eastAsia="Times New Roman" w:cs="Arial"/>
                <w:b/>
                <w:bCs/>
                <w:color w:val="FFFFFF"/>
                <w:szCs w:val="22"/>
              </w:rPr>
              <w:t>Number of Vendors</w:t>
            </w:r>
          </w:p>
        </w:tc>
        <w:tc>
          <w:tcPr>
            <w:tcW w:w="1369" w:type="pct"/>
            <w:tcBorders>
              <w:top w:val="single" w:sz="4" w:space="0" w:color="C9C9C9"/>
              <w:left w:val="nil"/>
              <w:bottom w:val="single" w:sz="4" w:space="0" w:color="C9C9C9"/>
              <w:right w:val="single" w:sz="4" w:space="0" w:color="C9C9C9"/>
            </w:tcBorders>
            <w:shd w:val="clear" w:color="A5A5A5" w:fill="A5A5A5"/>
            <w:noWrap/>
            <w:vAlign w:val="bottom"/>
            <w:hideMark/>
          </w:tcPr>
          <w:p w14:paraId="438EEBED" w14:textId="77777777" w:rsidR="00374478" w:rsidRDefault="00EC32BB" w:rsidP="001B5D23">
            <w:pPr>
              <w:widowControl/>
              <w:autoSpaceDE/>
              <w:autoSpaceDN/>
              <w:adjustRightInd/>
              <w:ind w:left="720"/>
              <w:jc w:val="center"/>
              <w:rPr>
                <w:rFonts w:eastAsia="Times New Roman" w:cs="Arial"/>
                <w:b/>
                <w:bCs/>
                <w:color w:val="FFFFFF"/>
                <w:szCs w:val="22"/>
              </w:rPr>
            </w:pPr>
            <w:r w:rsidRPr="00EC32BB">
              <w:rPr>
                <w:rFonts w:eastAsia="Times New Roman" w:cs="Arial"/>
                <w:b/>
                <w:bCs/>
                <w:color w:val="FFFFFF"/>
                <w:szCs w:val="22"/>
              </w:rPr>
              <w:t>FY21 Master</w:t>
            </w:r>
          </w:p>
          <w:p w14:paraId="7B9BDD3F" w14:textId="3EFF9B55" w:rsidR="00EC32BB" w:rsidRPr="00EC32BB" w:rsidRDefault="00EC32BB" w:rsidP="001B5D23">
            <w:pPr>
              <w:widowControl/>
              <w:autoSpaceDE/>
              <w:autoSpaceDN/>
              <w:adjustRightInd/>
              <w:ind w:left="720"/>
              <w:jc w:val="center"/>
              <w:rPr>
                <w:rFonts w:eastAsia="Times New Roman" w:cs="Arial"/>
                <w:b/>
                <w:bCs/>
                <w:color w:val="FFFFFF"/>
                <w:szCs w:val="22"/>
              </w:rPr>
            </w:pPr>
            <w:r w:rsidRPr="00EC32BB">
              <w:rPr>
                <w:rFonts w:eastAsia="Times New Roman" w:cs="Arial"/>
                <w:b/>
                <w:bCs/>
                <w:color w:val="FFFFFF"/>
                <w:szCs w:val="22"/>
              </w:rPr>
              <w:t>Contract Spend</w:t>
            </w:r>
          </w:p>
        </w:tc>
      </w:tr>
      <w:tr w:rsidR="001B5D23" w:rsidRPr="00EC32BB" w14:paraId="4877FC3A" w14:textId="77777777" w:rsidTr="001B5D23">
        <w:trPr>
          <w:trHeight w:val="285"/>
        </w:trPr>
        <w:tc>
          <w:tcPr>
            <w:tcW w:w="2546" w:type="pct"/>
            <w:tcBorders>
              <w:top w:val="single" w:sz="4" w:space="0" w:color="C9C9C9"/>
              <w:left w:val="single" w:sz="4" w:space="0" w:color="C9C9C9"/>
              <w:bottom w:val="single" w:sz="4" w:space="0" w:color="C9C9C9"/>
              <w:right w:val="nil"/>
            </w:tcBorders>
            <w:shd w:val="clear" w:color="EDEDED" w:fill="EDEDED"/>
            <w:noWrap/>
            <w:vAlign w:val="bottom"/>
            <w:hideMark/>
          </w:tcPr>
          <w:p w14:paraId="491C7AF6" w14:textId="77777777" w:rsidR="00374478" w:rsidRPr="00EC32BB" w:rsidRDefault="00374478" w:rsidP="00374478">
            <w:pPr>
              <w:widowControl/>
              <w:autoSpaceDE/>
              <w:autoSpaceDN/>
              <w:adjustRightInd/>
              <w:rPr>
                <w:rFonts w:eastAsia="Times New Roman" w:cs="Arial"/>
                <w:color w:val="000000"/>
                <w:szCs w:val="22"/>
              </w:rPr>
            </w:pPr>
            <w:r w:rsidRPr="00EC32BB">
              <w:rPr>
                <w:rFonts w:eastAsia="Times New Roman" w:cs="Arial"/>
                <w:color w:val="000000"/>
                <w:szCs w:val="22"/>
              </w:rPr>
              <w:t>Computer Equipment</w:t>
            </w:r>
          </w:p>
        </w:tc>
        <w:tc>
          <w:tcPr>
            <w:tcW w:w="1085" w:type="pct"/>
            <w:tcBorders>
              <w:top w:val="single" w:sz="4" w:space="0" w:color="C9C9C9"/>
              <w:left w:val="nil"/>
              <w:bottom w:val="single" w:sz="4" w:space="0" w:color="C9C9C9"/>
              <w:right w:val="nil"/>
            </w:tcBorders>
            <w:shd w:val="clear" w:color="EDEDED" w:fill="EDEDED"/>
            <w:noWrap/>
            <w:vAlign w:val="bottom"/>
            <w:hideMark/>
          </w:tcPr>
          <w:p w14:paraId="64A615B8" w14:textId="77777777" w:rsidR="00374478" w:rsidRPr="00EC32BB" w:rsidRDefault="00374478" w:rsidP="00374478">
            <w:pPr>
              <w:widowControl/>
              <w:autoSpaceDE/>
              <w:autoSpaceDN/>
              <w:adjustRightInd/>
              <w:jc w:val="center"/>
              <w:rPr>
                <w:rFonts w:eastAsia="Times New Roman" w:cs="Arial"/>
                <w:color w:val="000000"/>
                <w:szCs w:val="22"/>
              </w:rPr>
            </w:pPr>
            <w:r w:rsidRPr="00EC32BB">
              <w:rPr>
                <w:rFonts w:eastAsia="Times New Roman" w:cs="Arial"/>
                <w:color w:val="000000"/>
                <w:szCs w:val="22"/>
              </w:rPr>
              <w:t>12</w:t>
            </w:r>
          </w:p>
        </w:tc>
        <w:tc>
          <w:tcPr>
            <w:tcW w:w="1369" w:type="pct"/>
            <w:tcBorders>
              <w:top w:val="single" w:sz="4" w:space="0" w:color="C9C9C9"/>
              <w:left w:val="nil"/>
              <w:bottom w:val="single" w:sz="4" w:space="0" w:color="C9C9C9"/>
              <w:right w:val="single" w:sz="4" w:space="0" w:color="C9C9C9"/>
            </w:tcBorders>
            <w:shd w:val="clear" w:color="EDEDED" w:fill="EDEDED"/>
            <w:noWrap/>
            <w:vAlign w:val="bottom"/>
            <w:hideMark/>
          </w:tcPr>
          <w:p w14:paraId="529C1254" w14:textId="073B5DC5" w:rsidR="00374478" w:rsidRPr="00EC32BB" w:rsidRDefault="00374478" w:rsidP="002048FF">
            <w:pPr>
              <w:widowControl/>
              <w:autoSpaceDE/>
              <w:autoSpaceDN/>
              <w:adjustRightInd/>
              <w:jc w:val="right"/>
              <w:rPr>
                <w:rFonts w:eastAsia="Times New Roman" w:cs="Arial"/>
                <w:color w:val="000000"/>
                <w:szCs w:val="22"/>
              </w:rPr>
            </w:pPr>
            <w:r>
              <w:rPr>
                <w:rFonts w:cs="Arial"/>
                <w:color w:val="000000"/>
                <w:szCs w:val="22"/>
              </w:rPr>
              <w:t>$           201,801,616</w:t>
            </w:r>
          </w:p>
        </w:tc>
      </w:tr>
      <w:tr w:rsidR="001B5D23" w:rsidRPr="00EC32BB" w14:paraId="36975837" w14:textId="77777777" w:rsidTr="001B5D23">
        <w:trPr>
          <w:trHeight w:val="285"/>
        </w:trPr>
        <w:tc>
          <w:tcPr>
            <w:tcW w:w="2546" w:type="pct"/>
            <w:tcBorders>
              <w:top w:val="single" w:sz="4" w:space="0" w:color="C9C9C9"/>
              <w:left w:val="single" w:sz="4" w:space="0" w:color="C9C9C9"/>
              <w:bottom w:val="single" w:sz="4" w:space="0" w:color="C9C9C9"/>
              <w:right w:val="nil"/>
            </w:tcBorders>
            <w:shd w:val="clear" w:color="auto" w:fill="auto"/>
            <w:noWrap/>
            <w:vAlign w:val="bottom"/>
            <w:hideMark/>
          </w:tcPr>
          <w:p w14:paraId="3E14237F" w14:textId="77777777" w:rsidR="00374478" w:rsidRPr="00EC32BB" w:rsidRDefault="00374478" w:rsidP="00374478">
            <w:pPr>
              <w:widowControl/>
              <w:autoSpaceDE/>
              <w:autoSpaceDN/>
              <w:adjustRightInd/>
              <w:rPr>
                <w:rFonts w:eastAsia="Times New Roman" w:cs="Arial"/>
                <w:color w:val="000000"/>
                <w:szCs w:val="22"/>
              </w:rPr>
            </w:pPr>
            <w:r w:rsidRPr="00EC32BB">
              <w:rPr>
                <w:rFonts w:eastAsia="Times New Roman" w:cs="Arial"/>
                <w:color w:val="000000"/>
                <w:szCs w:val="22"/>
              </w:rPr>
              <w:t xml:space="preserve">NASPO </w:t>
            </w:r>
            <w:proofErr w:type="spellStart"/>
            <w:r w:rsidRPr="00EC32BB">
              <w:rPr>
                <w:rFonts w:eastAsia="Times New Roman" w:cs="Arial"/>
                <w:color w:val="000000"/>
                <w:szCs w:val="22"/>
              </w:rPr>
              <w:t>ValuePoint</w:t>
            </w:r>
            <w:proofErr w:type="spellEnd"/>
            <w:r w:rsidRPr="00EC32BB">
              <w:rPr>
                <w:rFonts w:eastAsia="Times New Roman" w:cs="Arial"/>
                <w:color w:val="000000"/>
                <w:szCs w:val="22"/>
              </w:rPr>
              <w:t xml:space="preserve"> Software Resellers</w:t>
            </w:r>
          </w:p>
        </w:tc>
        <w:tc>
          <w:tcPr>
            <w:tcW w:w="1085" w:type="pct"/>
            <w:tcBorders>
              <w:top w:val="single" w:sz="4" w:space="0" w:color="C9C9C9"/>
              <w:left w:val="nil"/>
              <w:bottom w:val="single" w:sz="4" w:space="0" w:color="C9C9C9"/>
              <w:right w:val="nil"/>
            </w:tcBorders>
            <w:shd w:val="clear" w:color="auto" w:fill="auto"/>
            <w:noWrap/>
            <w:vAlign w:val="bottom"/>
            <w:hideMark/>
          </w:tcPr>
          <w:p w14:paraId="25A2A497" w14:textId="77777777" w:rsidR="00374478" w:rsidRPr="00EC32BB" w:rsidRDefault="00374478" w:rsidP="00374478">
            <w:pPr>
              <w:widowControl/>
              <w:autoSpaceDE/>
              <w:autoSpaceDN/>
              <w:adjustRightInd/>
              <w:jc w:val="center"/>
              <w:rPr>
                <w:rFonts w:eastAsia="Times New Roman" w:cs="Arial"/>
                <w:color w:val="000000"/>
                <w:szCs w:val="22"/>
              </w:rPr>
            </w:pPr>
            <w:r w:rsidRPr="00EC32BB">
              <w:rPr>
                <w:rFonts w:eastAsia="Times New Roman" w:cs="Arial"/>
                <w:color w:val="000000"/>
                <w:szCs w:val="22"/>
              </w:rPr>
              <w:t>4</w:t>
            </w:r>
          </w:p>
        </w:tc>
        <w:tc>
          <w:tcPr>
            <w:tcW w:w="1369" w:type="pct"/>
            <w:tcBorders>
              <w:top w:val="single" w:sz="4" w:space="0" w:color="C9C9C9"/>
              <w:left w:val="nil"/>
              <w:bottom w:val="single" w:sz="4" w:space="0" w:color="C9C9C9"/>
              <w:right w:val="single" w:sz="4" w:space="0" w:color="C9C9C9"/>
            </w:tcBorders>
            <w:shd w:val="clear" w:color="auto" w:fill="auto"/>
            <w:noWrap/>
            <w:vAlign w:val="bottom"/>
            <w:hideMark/>
          </w:tcPr>
          <w:p w14:paraId="6B910C72" w14:textId="22FAA7D7" w:rsidR="00374478" w:rsidRPr="00EC32BB" w:rsidRDefault="00374478" w:rsidP="002048FF">
            <w:pPr>
              <w:widowControl/>
              <w:autoSpaceDE/>
              <w:autoSpaceDN/>
              <w:adjustRightInd/>
              <w:jc w:val="right"/>
              <w:rPr>
                <w:rFonts w:eastAsia="Times New Roman" w:cs="Arial"/>
                <w:color w:val="000000"/>
                <w:szCs w:val="22"/>
              </w:rPr>
            </w:pPr>
            <w:r>
              <w:rPr>
                <w:rFonts w:cs="Arial"/>
                <w:color w:val="000000"/>
                <w:szCs w:val="22"/>
              </w:rPr>
              <w:t>$           102,018,723</w:t>
            </w:r>
          </w:p>
        </w:tc>
      </w:tr>
      <w:tr w:rsidR="001B5D23" w:rsidRPr="00EC32BB" w14:paraId="2C71709A" w14:textId="77777777" w:rsidTr="001B5D23">
        <w:trPr>
          <w:trHeight w:val="285"/>
        </w:trPr>
        <w:tc>
          <w:tcPr>
            <w:tcW w:w="2546" w:type="pct"/>
            <w:tcBorders>
              <w:top w:val="single" w:sz="4" w:space="0" w:color="C9C9C9"/>
              <w:left w:val="single" w:sz="4" w:space="0" w:color="C9C9C9"/>
              <w:bottom w:val="single" w:sz="4" w:space="0" w:color="C9C9C9"/>
              <w:right w:val="nil"/>
            </w:tcBorders>
            <w:shd w:val="clear" w:color="EDEDED" w:fill="EDEDED"/>
            <w:noWrap/>
            <w:vAlign w:val="bottom"/>
            <w:hideMark/>
          </w:tcPr>
          <w:p w14:paraId="672017E9" w14:textId="77777777" w:rsidR="00374478" w:rsidRPr="00EC32BB" w:rsidRDefault="00374478" w:rsidP="00374478">
            <w:pPr>
              <w:widowControl/>
              <w:autoSpaceDE/>
              <w:autoSpaceDN/>
              <w:adjustRightInd/>
              <w:rPr>
                <w:rFonts w:eastAsia="Times New Roman" w:cs="Arial"/>
                <w:color w:val="000000"/>
                <w:szCs w:val="22"/>
              </w:rPr>
            </w:pPr>
            <w:r w:rsidRPr="00EC32BB">
              <w:rPr>
                <w:rFonts w:eastAsia="Times New Roman" w:cs="Arial"/>
                <w:color w:val="000000"/>
                <w:szCs w:val="22"/>
              </w:rPr>
              <w:t xml:space="preserve">NASPO </w:t>
            </w:r>
            <w:proofErr w:type="spellStart"/>
            <w:r w:rsidRPr="00EC32BB">
              <w:rPr>
                <w:rFonts w:eastAsia="Times New Roman" w:cs="Arial"/>
                <w:color w:val="000000"/>
                <w:szCs w:val="22"/>
              </w:rPr>
              <w:t>ValuePoint</w:t>
            </w:r>
            <w:proofErr w:type="spellEnd"/>
            <w:r w:rsidRPr="00EC32BB">
              <w:rPr>
                <w:rFonts w:eastAsia="Times New Roman" w:cs="Arial"/>
                <w:color w:val="000000"/>
                <w:szCs w:val="22"/>
              </w:rPr>
              <w:t xml:space="preserve"> Wireless Data, Voice, and Accessories</w:t>
            </w:r>
          </w:p>
        </w:tc>
        <w:tc>
          <w:tcPr>
            <w:tcW w:w="1085" w:type="pct"/>
            <w:tcBorders>
              <w:top w:val="single" w:sz="4" w:space="0" w:color="C9C9C9"/>
              <w:left w:val="nil"/>
              <w:bottom w:val="single" w:sz="4" w:space="0" w:color="C9C9C9"/>
              <w:right w:val="nil"/>
            </w:tcBorders>
            <w:shd w:val="clear" w:color="EDEDED" w:fill="EDEDED"/>
            <w:noWrap/>
            <w:vAlign w:val="bottom"/>
            <w:hideMark/>
          </w:tcPr>
          <w:p w14:paraId="55422EFE" w14:textId="77777777" w:rsidR="00374478" w:rsidRPr="00EC32BB" w:rsidRDefault="00374478" w:rsidP="00374478">
            <w:pPr>
              <w:widowControl/>
              <w:autoSpaceDE/>
              <w:autoSpaceDN/>
              <w:adjustRightInd/>
              <w:jc w:val="center"/>
              <w:rPr>
                <w:rFonts w:eastAsia="Times New Roman" w:cs="Arial"/>
                <w:color w:val="000000"/>
                <w:szCs w:val="22"/>
              </w:rPr>
            </w:pPr>
            <w:r w:rsidRPr="00EC32BB">
              <w:rPr>
                <w:rFonts w:eastAsia="Times New Roman" w:cs="Arial"/>
                <w:color w:val="000000"/>
                <w:szCs w:val="22"/>
              </w:rPr>
              <w:t>5</w:t>
            </w:r>
          </w:p>
        </w:tc>
        <w:tc>
          <w:tcPr>
            <w:tcW w:w="1369" w:type="pct"/>
            <w:tcBorders>
              <w:top w:val="single" w:sz="4" w:space="0" w:color="C9C9C9"/>
              <w:left w:val="nil"/>
              <w:bottom w:val="single" w:sz="4" w:space="0" w:color="C9C9C9"/>
              <w:right w:val="single" w:sz="4" w:space="0" w:color="C9C9C9"/>
            </w:tcBorders>
            <w:shd w:val="clear" w:color="EDEDED" w:fill="EDEDED"/>
            <w:noWrap/>
            <w:vAlign w:val="bottom"/>
            <w:hideMark/>
          </w:tcPr>
          <w:p w14:paraId="6711AEF2" w14:textId="472BAD3A" w:rsidR="00374478" w:rsidRPr="00EC32BB" w:rsidRDefault="00374478" w:rsidP="002048FF">
            <w:pPr>
              <w:widowControl/>
              <w:autoSpaceDE/>
              <w:autoSpaceDN/>
              <w:adjustRightInd/>
              <w:jc w:val="right"/>
              <w:rPr>
                <w:rFonts w:eastAsia="Times New Roman" w:cs="Arial"/>
                <w:color w:val="000000"/>
                <w:szCs w:val="22"/>
              </w:rPr>
            </w:pPr>
            <w:r>
              <w:rPr>
                <w:rFonts w:cs="Arial"/>
                <w:color w:val="000000"/>
                <w:szCs w:val="22"/>
              </w:rPr>
              <w:t>$             73,838,988</w:t>
            </w:r>
          </w:p>
        </w:tc>
      </w:tr>
      <w:tr w:rsidR="001B5D23" w:rsidRPr="00EC32BB" w14:paraId="6A103B66" w14:textId="77777777" w:rsidTr="001B5D23">
        <w:trPr>
          <w:trHeight w:val="285"/>
        </w:trPr>
        <w:tc>
          <w:tcPr>
            <w:tcW w:w="2546" w:type="pct"/>
            <w:tcBorders>
              <w:top w:val="single" w:sz="4" w:space="0" w:color="C9C9C9"/>
              <w:left w:val="single" w:sz="4" w:space="0" w:color="C9C9C9"/>
              <w:bottom w:val="single" w:sz="4" w:space="0" w:color="C9C9C9"/>
              <w:right w:val="nil"/>
            </w:tcBorders>
            <w:shd w:val="clear" w:color="auto" w:fill="auto"/>
            <w:noWrap/>
            <w:vAlign w:val="bottom"/>
            <w:hideMark/>
          </w:tcPr>
          <w:p w14:paraId="16F992FF" w14:textId="77777777" w:rsidR="00374478" w:rsidRPr="00EC32BB" w:rsidRDefault="00374478" w:rsidP="00374478">
            <w:pPr>
              <w:widowControl/>
              <w:autoSpaceDE/>
              <w:autoSpaceDN/>
              <w:adjustRightInd/>
              <w:rPr>
                <w:rFonts w:eastAsia="Times New Roman" w:cs="Arial"/>
                <w:color w:val="000000"/>
                <w:szCs w:val="22"/>
              </w:rPr>
            </w:pPr>
            <w:r w:rsidRPr="00EC32BB">
              <w:rPr>
                <w:rFonts w:eastAsia="Times New Roman" w:cs="Arial"/>
                <w:color w:val="000000"/>
                <w:szCs w:val="22"/>
              </w:rPr>
              <w:t>Information Technology Professional Services</w:t>
            </w:r>
          </w:p>
        </w:tc>
        <w:tc>
          <w:tcPr>
            <w:tcW w:w="1085" w:type="pct"/>
            <w:tcBorders>
              <w:top w:val="single" w:sz="4" w:space="0" w:color="C9C9C9"/>
              <w:left w:val="nil"/>
              <w:bottom w:val="single" w:sz="4" w:space="0" w:color="C9C9C9"/>
              <w:right w:val="nil"/>
            </w:tcBorders>
            <w:shd w:val="clear" w:color="auto" w:fill="auto"/>
            <w:noWrap/>
            <w:vAlign w:val="bottom"/>
            <w:hideMark/>
          </w:tcPr>
          <w:p w14:paraId="7F890C50" w14:textId="77777777" w:rsidR="00374478" w:rsidRPr="00EC32BB" w:rsidRDefault="00374478" w:rsidP="00374478">
            <w:pPr>
              <w:widowControl/>
              <w:autoSpaceDE/>
              <w:autoSpaceDN/>
              <w:adjustRightInd/>
              <w:jc w:val="center"/>
              <w:rPr>
                <w:rFonts w:eastAsia="Times New Roman" w:cs="Arial"/>
                <w:color w:val="000000"/>
                <w:szCs w:val="22"/>
              </w:rPr>
            </w:pPr>
            <w:r w:rsidRPr="00EC32BB">
              <w:rPr>
                <w:rFonts w:eastAsia="Times New Roman" w:cs="Arial"/>
                <w:color w:val="000000"/>
                <w:szCs w:val="22"/>
              </w:rPr>
              <w:t>99</w:t>
            </w:r>
          </w:p>
        </w:tc>
        <w:tc>
          <w:tcPr>
            <w:tcW w:w="1369" w:type="pct"/>
            <w:tcBorders>
              <w:top w:val="single" w:sz="4" w:space="0" w:color="C9C9C9"/>
              <w:left w:val="nil"/>
              <w:bottom w:val="single" w:sz="4" w:space="0" w:color="C9C9C9"/>
              <w:right w:val="single" w:sz="4" w:space="0" w:color="C9C9C9"/>
            </w:tcBorders>
            <w:shd w:val="clear" w:color="auto" w:fill="auto"/>
            <w:noWrap/>
            <w:vAlign w:val="bottom"/>
            <w:hideMark/>
          </w:tcPr>
          <w:p w14:paraId="47AA446F" w14:textId="5588CA14" w:rsidR="00374478" w:rsidRPr="00EC32BB" w:rsidRDefault="00374478" w:rsidP="002048FF">
            <w:pPr>
              <w:widowControl/>
              <w:autoSpaceDE/>
              <w:autoSpaceDN/>
              <w:adjustRightInd/>
              <w:jc w:val="right"/>
              <w:rPr>
                <w:rFonts w:eastAsia="Times New Roman" w:cs="Arial"/>
                <w:color w:val="000000"/>
                <w:szCs w:val="22"/>
              </w:rPr>
            </w:pPr>
            <w:r>
              <w:rPr>
                <w:rFonts w:cs="Arial"/>
                <w:color w:val="000000"/>
                <w:szCs w:val="22"/>
              </w:rPr>
              <w:t>$             44,890,895</w:t>
            </w:r>
          </w:p>
        </w:tc>
      </w:tr>
      <w:tr w:rsidR="001B5D23" w:rsidRPr="00EC32BB" w14:paraId="276AB87D" w14:textId="77777777" w:rsidTr="001B5D23">
        <w:trPr>
          <w:trHeight w:val="300"/>
        </w:trPr>
        <w:tc>
          <w:tcPr>
            <w:tcW w:w="2546" w:type="pct"/>
            <w:tcBorders>
              <w:top w:val="single" w:sz="4" w:space="0" w:color="C9C9C9"/>
              <w:left w:val="single" w:sz="4" w:space="0" w:color="C9C9C9"/>
              <w:bottom w:val="single" w:sz="4" w:space="0" w:color="C9C9C9"/>
              <w:right w:val="nil"/>
            </w:tcBorders>
            <w:shd w:val="clear" w:color="EDEDED" w:fill="EDEDED"/>
            <w:noWrap/>
            <w:vAlign w:val="bottom"/>
            <w:hideMark/>
          </w:tcPr>
          <w:p w14:paraId="0BC3B989" w14:textId="77777777" w:rsidR="00374478" w:rsidRPr="00EC32BB" w:rsidRDefault="00374478" w:rsidP="00374478">
            <w:pPr>
              <w:widowControl/>
              <w:autoSpaceDE/>
              <w:autoSpaceDN/>
              <w:adjustRightInd/>
              <w:rPr>
                <w:rFonts w:eastAsia="Times New Roman" w:cs="Arial"/>
                <w:color w:val="000000"/>
                <w:szCs w:val="22"/>
              </w:rPr>
            </w:pPr>
            <w:r w:rsidRPr="00EC32BB">
              <w:rPr>
                <w:rFonts w:eastAsia="Times New Roman" w:cs="Arial"/>
                <w:color w:val="000000"/>
                <w:szCs w:val="22"/>
              </w:rPr>
              <w:t>Cloud Solutions</w:t>
            </w:r>
          </w:p>
        </w:tc>
        <w:tc>
          <w:tcPr>
            <w:tcW w:w="1085" w:type="pct"/>
            <w:tcBorders>
              <w:top w:val="single" w:sz="4" w:space="0" w:color="C9C9C9"/>
              <w:left w:val="nil"/>
              <w:bottom w:val="single" w:sz="4" w:space="0" w:color="C9C9C9"/>
              <w:right w:val="nil"/>
            </w:tcBorders>
            <w:shd w:val="clear" w:color="EDEDED" w:fill="EDEDED"/>
            <w:noWrap/>
            <w:vAlign w:val="bottom"/>
            <w:hideMark/>
          </w:tcPr>
          <w:p w14:paraId="6EB16B73" w14:textId="77777777" w:rsidR="00374478" w:rsidRPr="00EC32BB" w:rsidRDefault="00374478" w:rsidP="00374478">
            <w:pPr>
              <w:widowControl/>
              <w:autoSpaceDE/>
              <w:autoSpaceDN/>
              <w:adjustRightInd/>
              <w:jc w:val="center"/>
              <w:rPr>
                <w:rFonts w:eastAsia="Times New Roman" w:cs="Arial"/>
                <w:color w:val="000000"/>
                <w:szCs w:val="22"/>
              </w:rPr>
            </w:pPr>
            <w:r w:rsidRPr="00EC32BB">
              <w:rPr>
                <w:rFonts w:eastAsia="Times New Roman" w:cs="Arial"/>
                <w:color w:val="000000"/>
                <w:szCs w:val="22"/>
              </w:rPr>
              <w:t>12</w:t>
            </w:r>
          </w:p>
        </w:tc>
        <w:tc>
          <w:tcPr>
            <w:tcW w:w="1369" w:type="pct"/>
            <w:tcBorders>
              <w:top w:val="single" w:sz="4" w:space="0" w:color="C9C9C9"/>
              <w:left w:val="nil"/>
              <w:bottom w:val="single" w:sz="4" w:space="0" w:color="C9C9C9"/>
              <w:right w:val="single" w:sz="4" w:space="0" w:color="C9C9C9"/>
            </w:tcBorders>
            <w:shd w:val="clear" w:color="EDEDED" w:fill="EDEDED"/>
            <w:noWrap/>
            <w:vAlign w:val="bottom"/>
            <w:hideMark/>
          </w:tcPr>
          <w:p w14:paraId="2773FAD6" w14:textId="24FBD335" w:rsidR="00374478" w:rsidRPr="00EC32BB" w:rsidRDefault="00374478" w:rsidP="002048FF">
            <w:pPr>
              <w:widowControl/>
              <w:autoSpaceDE/>
              <w:autoSpaceDN/>
              <w:adjustRightInd/>
              <w:jc w:val="right"/>
              <w:rPr>
                <w:rFonts w:eastAsia="Times New Roman" w:cs="Arial"/>
                <w:color w:val="000000"/>
                <w:szCs w:val="22"/>
              </w:rPr>
            </w:pPr>
            <w:r>
              <w:rPr>
                <w:rFonts w:cs="Arial"/>
                <w:color w:val="000000"/>
                <w:szCs w:val="22"/>
              </w:rPr>
              <w:t>$             40,586,304</w:t>
            </w:r>
          </w:p>
        </w:tc>
      </w:tr>
      <w:tr w:rsidR="001B5D23" w:rsidRPr="00EC32BB" w14:paraId="7326D33F" w14:textId="77777777" w:rsidTr="001B5D23">
        <w:trPr>
          <w:trHeight w:val="285"/>
        </w:trPr>
        <w:tc>
          <w:tcPr>
            <w:tcW w:w="2546" w:type="pct"/>
            <w:tcBorders>
              <w:top w:val="single" w:sz="4" w:space="0" w:color="C9C9C9"/>
              <w:left w:val="single" w:sz="4" w:space="0" w:color="C9C9C9"/>
              <w:bottom w:val="single" w:sz="4" w:space="0" w:color="C9C9C9"/>
              <w:right w:val="nil"/>
            </w:tcBorders>
            <w:shd w:val="clear" w:color="auto" w:fill="auto"/>
            <w:noWrap/>
            <w:vAlign w:val="bottom"/>
            <w:hideMark/>
          </w:tcPr>
          <w:p w14:paraId="44345798" w14:textId="77777777" w:rsidR="00374478" w:rsidRPr="00EC32BB" w:rsidRDefault="00374478" w:rsidP="00374478">
            <w:pPr>
              <w:widowControl/>
              <w:autoSpaceDE/>
              <w:autoSpaceDN/>
              <w:adjustRightInd/>
              <w:rPr>
                <w:rFonts w:eastAsia="Times New Roman" w:cs="Arial"/>
                <w:color w:val="000000"/>
                <w:szCs w:val="22"/>
              </w:rPr>
            </w:pPr>
            <w:r w:rsidRPr="00EC32BB">
              <w:rPr>
                <w:rFonts w:eastAsia="Times New Roman" w:cs="Arial"/>
                <w:color w:val="000000"/>
                <w:szCs w:val="22"/>
              </w:rPr>
              <w:t>NASPO Data Communications</w:t>
            </w:r>
          </w:p>
        </w:tc>
        <w:tc>
          <w:tcPr>
            <w:tcW w:w="1085" w:type="pct"/>
            <w:tcBorders>
              <w:top w:val="single" w:sz="4" w:space="0" w:color="C9C9C9"/>
              <w:left w:val="nil"/>
              <w:bottom w:val="single" w:sz="4" w:space="0" w:color="C9C9C9"/>
              <w:right w:val="nil"/>
            </w:tcBorders>
            <w:shd w:val="clear" w:color="auto" w:fill="auto"/>
            <w:noWrap/>
            <w:vAlign w:val="bottom"/>
            <w:hideMark/>
          </w:tcPr>
          <w:p w14:paraId="2711474D" w14:textId="77777777" w:rsidR="00374478" w:rsidRPr="00EC32BB" w:rsidRDefault="00374478" w:rsidP="00374478">
            <w:pPr>
              <w:widowControl/>
              <w:autoSpaceDE/>
              <w:autoSpaceDN/>
              <w:adjustRightInd/>
              <w:jc w:val="center"/>
              <w:rPr>
                <w:rFonts w:eastAsia="Times New Roman" w:cs="Arial"/>
                <w:color w:val="000000"/>
                <w:szCs w:val="22"/>
              </w:rPr>
            </w:pPr>
            <w:r w:rsidRPr="00EC32BB">
              <w:rPr>
                <w:rFonts w:eastAsia="Times New Roman" w:cs="Arial"/>
                <w:color w:val="000000"/>
                <w:szCs w:val="22"/>
              </w:rPr>
              <w:t>10</w:t>
            </w:r>
          </w:p>
        </w:tc>
        <w:tc>
          <w:tcPr>
            <w:tcW w:w="1369" w:type="pct"/>
            <w:tcBorders>
              <w:top w:val="single" w:sz="4" w:space="0" w:color="C9C9C9"/>
              <w:left w:val="nil"/>
              <w:bottom w:val="single" w:sz="4" w:space="0" w:color="C9C9C9"/>
              <w:right w:val="single" w:sz="4" w:space="0" w:color="C9C9C9"/>
            </w:tcBorders>
            <w:shd w:val="clear" w:color="auto" w:fill="auto"/>
            <w:noWrap/>
            <w:vAlign w:val="bottom"/>
            <w:hideMark/>
          </w:tcPr>
          <w:p w14:paraId="5CE909B9" w14:textId="271A315D" w:rsidR="00374478" w:rsidRPr="00EC32BB"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31,925,074 </w:t>
            </w:r>
          </w:p>
        </w:tc>
      </w:tr>
      <w:tr w:rsidR="001B5D23" w:rsidRPr="00EC32BB" w14:paraId="1FCE80AA" w14:textId="77777777" w:rsidTr="001B5D23">
        <w:trPr>
          <w:trHeight w:val="285"/>
        </w:trPr>
        <w:tc>
          <w:tcPr>
            <w:tcW w:w="2546" w:type="pct"/>
            <w:tcBorders>
              <w:top w:val="single" w:sz="4" w:space="0" w:color="C9C9C9"/>
              <w:left w:val="single" w:sz="4" w:space="0" w:color="C9C9C9"/>
              <w:bottom w:val="single" w:sz="4" w:space="0" w:color="C9C9C9"/>
              <w:right w:val="nil"/>
            </w:tcBorders>
            <w:shd w:val="clear" w:color="EDEDED" w:fill="EDEDED"/>
            <w:noWrap/>
            <w:vAlign w:val="bottom"/>
            <w:hideMark/>
          </w:tcPr>
          <w:p w14:paraId="33831E4F" w14:textId="77777777" w:rsidR="00374478" w:rsidRPr="00EC32BB" w:rsidRDefault="00374478" w:rsidP="00374478">
            <w:pPr>
              <w:widowControl/>
              <w:autoSpaceDE/>
              <w:autoSpaceDN/>
              <w:adjustRightInd/>
              <w:rPr>
                <w:rFonts w:eastAsia="Times New Roman" w:cs="Arial"/>
                <w:color w:val="000000"/>
                <w:szCs w:val="22"/>
              </w:rPr>
            </w:pPr>
            <w:r w:rsidRPr="00EC32BB">
              <w:rPr>
                <w:rFonts w:eastAsia="Times New Roman" w:cs="Arial"/>
                <w:color w:val="000000"/>
                <w:szCs w:val="22"/>
              </w:rPr>
              <w:t>Copiers and Managed Print Services</w:t>
            </w:r>
          </w:p>
        </w:tc>
        <w:tc>
          <w:tcPr>
            <w:tcW w:w="1085" w:type="pct"/>
            <w:tcBorders>
              <w:top w:val="single" w:sz="4" w:space="0" w:color="C9C9C9"/>
              <w:left w:val="nil"/>
              <w:bottom w:val="single" w:sz="4" w:space="0" w:color="C9C9C9"/>
              <w:right w:val="nil"/>
            </w:tcBorders>
            <w:shd w:val="clear" w:color="EDEDED" w:fill="EDEDED"/>
            <w:noWrap/>
            <w:vAlign w:val="bottom"/>
            <w:hideMark/>
          </w:tcPr>
          <w:p w14:paraId="482E9171" w14:textId="77777777" w:rsidR="00374478" w:rsidRPr="00EC32BB" w:rsidRDefault="00374478" w:rsidP="00374478">
            <w:pPr>
              <w:widowControl/>
              <w:autoSpaceDE/>
              <w:autoSpaceDN/>
              <w:adjustRightInd/>
              <w:jc w:val="center"/>
              <w:rPr>
                <w:rFonts w:eastAsia="Times New Roman" w:cs="Arial"/>
                <w:color w:val="000000"/>
                <w:szCs w:val="22"/>
              </w:rPr>
            </w:pPr>
            <w:r w:rsidRPr="00EC32BB">
              <w:rPr>
                <w:rFonts w:eastAsia="Times New Roman" w:cs="Arial"/>
                <w:color w:val="000000"/>
                <w:szCs w:val="22"/>
              </w:rPr>
              <w:t>7</w:t>
            </w:r>
          </w:p>
        </w:tc>
        <w:tc>
          <w:tcPr>
            <w:tcW w:w="1369" w:type="pct"/>
            <w:tcBorders>
              <w:top w:val="single" w:sz="4" w:space="0" w:color="C9C9C9"/>
              <w:left w:val="nil"/>
              <w:bottom w:val="single" w:sz="4" w:space="0" w:color="C9C9C9"/>
              <w:right w:val="single" w:sz="4" w:space="0" w:color="C9C9C9"/>
            </w:tcBorders>
            <w:shd w:val="clear" w:color="EDEDED" w:fill="EDEDED"/>
            <w:noWrap/>
            <w:vAlign w:val="bottom"/>
            <w:hideMark/>
          </w:tcPr>
          <w:p w14:paraId="3D8E8699" w14:textId="32E47F06" w:rsidR="00374478" w:rsidRPr="00EC32BB"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18,596,587 </w:t>
            </w:r>
          </w:p>
        </w:tc>
      </w:tr>
      <w:tr w:rsidR="001B5D23" w:rsidRPr="00EC32BB" w14:paraId="0EDED139" w14:textId="77777777" w:rsidTr="001B5D23">
        <w:trPr>
          <w:trHeight w:val="285"/>
        </w:trPr>
        <w:tc>
          <w:tcPr>
            <w:tcW w:w="2546" w:type="pct"/>
            <w:tcBorders>
              <w:top w:val="single" w:sz="4" w:space="0" w:color="C9C9C9"/>
              <w:left w:val="single" w:sz="4" w:space="0" w:color="C9C9C9"/>
              <w:bottom w:val="single" w:sz="4" w:space="0" w:color="C9C9C9"/>
              <w:right w:val="nil"/>
            </w:tcBorders>
            <w:shd w:val="clear" w:color="auto" w:fill="auto"/>
            <w:noWrap/>
            <w:vAlign w:val="bottom"/>
            <w:hideMark/>
          </w:tcPr>
          <w:p w14:paraId="502AAE82" w14:textId="77777777" w:rsidR="00374478" w:rsidRPr="00EC32BB" w:rsidRDefault="00374478" w:rsidP="00374478">
            <w:pPr>
              <w:widowControl/>
              <w:autoSpaceDE/>
              <w:autoSpaceDN/>
              <w:adjustRightInd/>
              <w:rPr>
                <w:rFonts w:eastAsia="Times New Roman" w:cs="Arial"/>
                <w:color w:val="000000"/>
                <w:szCs w:val="22"/>
              </w:rPr>
            </w:pPr>
            <w:r w:rsidRPr="00EC32BB">
              <w:rPr>
                <w:rFonts w:eastAsia="Times New Roman" w:cs="Arial"/>
                <w:color w:val="000000"/>
                <w:szCs w:val="22"/>
              </w:rPr>
              <w:t>Illumination, Traffic Signal &amp; Intelligent Transportation Systems Equipment</w:t>
            </w:r>
          </w:p>
        </w:tc>
        <w:tc>
          <w:tcPr>
            <w:tcW w:w="1085" w:type="pct"/>
            <w:tcBorders>
              <w:top w:val="single" w:sz="4" w:space="0" w:color="C9C9C9"/>
              <w:left w:val="nil"/>
              <w:bottom w:val="single" w:sz="4" w:space="0" w:color="C9C9C9"/>
              <w:right w:val="nil"/>
            </w:tcBorders>
            <w:shd w:val="clear" w:color="auto" w:fill="auto"/>
            <w:noWrap/>
            <w:vAlign w:val="bottom"/>
            <w:hideMark/>
          </w:tcPr>
          <w:p w14:paraId="10758646" w14:textId="77777777" w:rsidR="00374478" w:rsidRPr="00EC32BB" w:rsidRDefault="00374478" w:rsidP="00374478">
            <w:pPr>
              <w:widowControl/>
              <w:autoSpaceDE/>
              <w:autoSpaceDN/>
              <w:adjustRightInd/>
              <w:jc w:val="center"/>
              <w:rPr>
                <w:rFonts w:eastAsia="Times New Roman" w:cs="Arial"/>
                <w:color w:val="000000"/>
                <w:szCs w:val="22"/>
              </w:rPr>
            </w:pPr>
            <w:r w:rsidRPr="00EC32BB">
              <w:rPr>
                <w:rFonts w:eastAsia="Times New Roman" w:cs="Arial"/>
                <w:color w:val="000000"/>
                <w:szCs w:val="22"/>
              </w:rPr>
              <w:t>22</w:t>
            </w:r>
          </w:p>
        </w:tc>
        <w:tc>
          <w:tcPr>
            <w:tcW w:w="1369" w:type="pct"/>
            <w:tcBorders>
              <w:top w:val="single" w:sz="4" w:space="0" w:color="C9C9C9"/>
              <w:left w:val="nil"/>
              <w:bottom w:val="single" w:sz="4" w:space="0" w:color="C9C9C9"/>
              <w:right w:val="single" w:sz="4" w:space="0" w:color="C9C9C9"/>
            </w:tcBorders>
            <w:shd w:val="clear" w:color="auto" w:fill="auto"/>
            <w:noWrap/>
            <w:vAlign w:val="bottom"/>
            <w:hideMark/>
          </w:tcPr>
          <w:p w14:paraId="07ACE521" w14:textId="02E9D28A" w:rsidR="00374478" w:rsidRPr="00EC32BB"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11,754,107 </w:t>
            </w:r>
          </w:p>
        </w:tc>
      </w:tr>
      <w:tr w:rsidR="001B5D23" w:rsidRPr="00EC32BB" w14:paraId="4EF06305" w14:textId="77777777" w:rsidTr="001B5D23">
        <w:trPr>
          <w:trHeight w:val="285"/>
        </w:trPr>
        <w:tc>
          <w:tcPr>
            <w:tcW w:w="2546" w:type="pct"/>
            <w:tcBorders>
              <w:top w:val="single" w:sz="4" w:space="0" w:color="C9C9C9"/>
              <w:left w:val="single" w:sz="4" w:space="0" w:color="C9C9C9"/>
              <w:bottom w:val="single" w:sz="4" w:space="0" w:color="C9C9C9"/>
              <w:right w:val="nil"/>
            </w:tcBorders>
            <w:shd w:val="clear" w:color="EDEDED" w:fill="EDEDED"/>
            <w:noWrap/>
            <w:vAlign w:val="bottom"/>
            <w:hideMark/>
          </w:tcPr>
          <w:p w14:paraId="150D2DF5" w14:textId="77777777" w:rsidR="00374478" w:rsidRPr="00EC32BB" w:rsidRDefault="00374478" w:rsidP="00374478">
            <w:pPr>
              <w:widowControl/>
              <w:autoSpaceDE/>
              <w:autoSpaceDN/>
              <w:adjustRightInd/>
              <w:rPr>
                <w:rFonts w:eastAsia="Times New Roman" w:cs="Arial"/>
                <w:color w:val="000000"/>
                <w:szCs w:val="22"/>
              </w:rPr>
            </w:pPr>
            <w:r w:rsidRPr="00EC32BB">
              <w:rPr>
                <w:rFonts w:eastAsia="Times New Roman" w:cs="Arial"/>
                <w:color w:val="000000"/>
                <w:szCs w:val="22"/>
              </w:rPr>
              <w:t>Data Communications (NASPO)</w:t>
            </w:r>
          </w:p>
        </w:tc>
        <w:tc>
          <w:tcPr>
            <w:tcW w:w="1085" w:type="pct"/>
            <w:tcBorders>
              <w:top w:val="single" w:sz="4" w:space="0" w:color="C9C9C9"/>
              <w:left w:val="nil"/>
              <w:bottom w:val="single" w:sz="4" w:space="0" w:color="C9C9C9"/>
              <w:right w:val="nil"/>
            </w:tcBorders>
            <w:shd w:val="clear" w:color="EDEDED" w:fill="EDEDED"/>
            <w:noWrap/>
            <w:vAlign w:val="bottom"/>
            <w:hideMark/>
          </w:tcPr>
          <w:p w14:paraId="35A8D6F6" w14:textId="77777777" w:rsidR="00374478" w:rsidRPr="00EC32BB" w:rsidRDefault="00374478" w:rsidP="00374478">
            <w:pPr>
              <w:widowControl/>
              <w:autoSpaceDE/>
              <w:autoSpaceDN/>
              <w:adjustRightInd/>
              <w:jc w:val="center"/>
              <w:rPr>
                <w:rFonts w:eastAsia="Times New Roman" w:cs="Arial"/>
                <w:color w:val="000000"/>
                <w:szCs w:val="22"/>
              </w:rPr>
            </w:pPr>
            <w:r w:rsidRPr="00EC32BB">
              <w:rPr>
                <w:rFonts w:eastAsia="Times New Roman" w:cs="Arial"/>
                <w:color w:val="000000"/>
                <w:szCs w:val="22"/>
              </w:rPr>
              <w:t>5</w:t>
            </w:r>
          </w:p>
        </w:tc>
        <w:tc>
          <w:tcPr>
            <w:tcW w:w="1369" w:type="pct"/>
            <w:tcBorders>
              <w:top w:val="single" w:sz="4" w:space="0" w:color="C9C9C9"/>
              <w:left w:val="nil"/>
              <w:bottom w:val="single" w:sz="4" w:space="0" w:color="C9C9C9"/>
              <w:right w:val="single" w:sz="4" w:space="0" w:color="C9C9C9"/>
            </w:tcBorders>
            <w:shd w:val="clear" w:color="EDEDED" w:fill="EDEDED"/>
            <w:noWrap/>
            <w:vAlign w:val="bottom"/>
            <w:hideMark/>
          </w:tcPr>
          <w:p w14:paraId="294B75BB" w14:textId="5F3EA4F0" w:rsidR="00374478" w:rsidRPr="003E58F8" w:rsidRDefault="00374478" w:rsidP="003E58F8">
            <w:pPr>
              <w:widowControl/>
              <w:autoSpaceDE/>
              <w:autoSpaceDN/>
              <w:adjustRightInd/>
              <w:jc w:val="right"/>
              <w:rPr>
                <w:rFonts w:cs="Arial"/>
                <w:color w:val="000000"/>
                <w:szCs w:val="22"/>
              </w:rPr>
            </w:pPr>
            <w:r>
              <w:rPr>
                <w:rFonts w:cs="Arial"/>
                <w:color w:val="000000"/>
                <w:szCs w:val="22"/>
              </w:rPr>
              <w:t xml:space="preserve"> $             11,455,095 </w:t>
            </w:r>
          </w:p>
        </w:tc>
      </w:tr>
      <w:tr w:rsidR="001B5D23" w:rsidRPr="00EC32BB" w14:paraId="1C1F174A" w14:textId="77777777" w:rsidTr="001B5D23">
        <w:trPr>
          <w:trHeight w:val="285"/>
        </w:trPr>
        <w:tc>
          <w:tcPr>
            <w:tcW w:w="2546" w:type="pct"/>
            <w:tcBorders>
              <w:top w:val="single" w:sz="4" w:space="0" w:color="C9C9C9"/>
              <w:left w:val="single" w:sz="4" w:space="0" w:color="C9C9C9"/>
              <w:bottom w:val="single" w:sz="4" w:space="0" w:color="C9C9C9"/>
              <w:right w:val="nil"/>
            </w:tcBorders>
            <w:shd w:val="clear" w:color="auto" w:fill="auto"/>
            <w:noWrap/>
            <w:vAlign w:val="bottom"/>
            <w:hideMark/>
          </w:tcPr>
          <w:p w14:paraId="771399B8" w14:textId="77777777" w:rsidR="00374478" w:rsidRPr="00EC32BB" w:rsidRDefault="00374478" w:rsidP="00374478">
            <w:pPr>
              <w:widowControl/>
              <w:autoSpaceDE/>
              <w:autoSpaceDN/>
              <w:adjustRightInd/>
              <w:rPr>
                <w:rFonts w:eastAsia="Times New Roman" w:cs="Arial"/>
                <w:color w:val="000000"/>
                <w:szCs w:val="22"/>
              </w:rPr>
            </w:pPr>
            <w:r w:rsidRPr="00EC32BB">
              <w:rPr>
                <w:rFonts w:eastAsia="Times New Roman" w:cs="Arial"/>
                <w:color w:val="000000"/>
                <w:szCs w:val="22"/>
              </w:rPr>
              <w:t>NVP Public Safety Communications Equipment</w:t>
            </w:r>
          </w:p>
        </w:tc>
        <w:tc>
          <w:tcPr>
            <w:tcW w:w="1085" w:type="pct"/>
            <w:tcBorders>
              <w:top w:val="single" w:sz="4" w:space="0" w:color="C9C9C9"/>
              <w:left w:val="nil"/>
              <w:bottom w:val="single" w:sz="4" w:space="0" w:color="C9C9C9"/>
              <w:right w:val="nil"/>
            </w:tcBorders>
            <w:shd w:val="clear" w:color="auto" w:fill="auto"/>
            <w:noWrap/>
            <w:vAlign w:val="bottom"/>
            <w:hideMark/>
          </w:tcPr>
          <w:p w14:paraId="45FD1F0E" w14:textId="77777777" w:rsidR="00374478" w:rsidRPr="00EC32BB" w:rsidRDefault="00374478" w:rsidP="00374478">
            <w:pPr>
              <w:widowControl/>
              <w:autoSpaceDE/>
              <w:autoSpaceDN/>
              <w:adjustRightInd/>
              <w:jc w:val="center"/>
              <w:rPr>
                <w:rFonts w:eastAsia="Times New Roman" w:cs="Arial"/>
                <w:color w:val="000000"/>
                <w:szCs w:val="22"/>
              </w:rPr>
            </w:pPr>
            <w:r w:rsidRPr="00EC32BB">
              <w:rPr>
                <w:rFonts w:eastAsia="Times New Roman" w:cs="Arial"/>
                <w:color w:val="000000"/>
                <w:szCs w:val="22"/>
              </w:rPr>
              <w:t>10</w:t>
            </w:r>
          </w:p>
        </w:tc>
        <w:tc>
          <w:tcPr>
            <w:tcW w:w="1369" w:type="pct"/>
            <w:tcBorders>
              <w:top w:val="single" w:sz="4" w:space="0" w:color="C9C9C9"/>
              <w:left w:val="nil"/>
              <w:bottom w:val="single" w:sz="4" w:space="0" w:color="C9C9C9"/>
              <w:right w:val="single" w:sz="4" w:space="0" w:color="C9C9C9"/>
            </w:tcBorders>
            <w:shd w:val="clear" w:color="auto" w:fill="auto"/>
            <w:noWrap/>
            <w:vAlign w:val="bottom"/>
            <w:hideMark/>
          </w:tcPr>
          <w:p w14:paraId="1A9D35A1" w14:textId="014A7CDC" w:rsidR="00374478" w:rsidRPr="003E58F8" w:rsidRDefault="00374478" w:rsidP="003E58F8">
            <w:pPr>
              <w:widowControl/>
              <w:autoSpaceDE/>
              <w:autoSpaceDN/>
              <w:adjustRightInd/>
              <w:jc w:val="right"/>
              <w:rPr>
                <w:rFonts w:cs="Arial"/>
                <w:color w:val="000000"/>
                <w:szCs w:val="22"/>
              </w:rPr>
            </w:pPr>
            <w:r>
              <w:rPr>
                <w:rFonts w:cs="Arial"/>
                <w:color w:val="000000"/>
                <w:szCs w:val="22"/>
              </w:rPr>
              <w:t xml:space="preserve"> $             10,645,312 </w:t>
            </w:r>
          </w:p>
        </w:tc>
      </w:tr>
    </w:tbl>
    <w:p w14:paraId="478A0312" w14:textId="77777777" w:rsidR="00D602C6" w:rsidRPr="008569EB" w:rsidRDefault="00D602C6" w:rsidP="006122AB">
      <w:pPr>
        <w:pStyle w:val="NoSpacing"/>
        <w:rPr>
          <w:rFonts w:ascii="Arial" w:hAnsi="Arial" w:cs="Arial"/>
          <w:b/>
        </w:rPr>
      </w:pPr>
    </w:p>
    <w:p w14:paraId="14A4A2A2" w14:textId="77777777" w:rsidR="006122AB" w:rsidRPr="000F697B" w:rsidRDefault="006122AB" w:rsidP="006122AB">
      <w:pPr>
        <w:pStyle w:val="NoSpacing"/>
        <w:rPr>
          <w:rFonts w:ascii="Arial" w:hAnsi="Arial" w:cs="Arial"/>
          <w:b/>
        </w:rPr>
      </w:pPr>
      <w:r w:rsidRPr="000F697B">
        <w:rPr>
          <w:rFonts w:ascii="Arial" w:hAnsi="Arial" w:cs="Arial"/>
          <w:b/>
        </w:rPr>
        <w:t>State Agency and Higher Education Summary</w:t>
      </w:r>
    </w:p>
    <w:p w14:paraId="0AFFD335" w14:textId="77777777" w:rsidR="006122AB" w:rsidRPr="000F697B" w:rsidRDefault="006122AB" w:rsidP="00B70C61">
      <w:pPr>
        <w:jc w:val="both"/>
        <w:rPr>
          <w:rFonts w:cs="Arial"/>
        </w:rPr>
      </w:pPr>
    </w:p>
    <w:tbl>
      <w:tblPr>
        <w:tblW w:w="5099" w:type="pct"/>
        <w:tblLayout w:type="fixed"/>
        <w:tblLook w:val="04A0" w:firstRow="1" w:lastRow="0" w:firstColumn="1" w:lastColumn="0" w:noHBand="0" w:noVBand="1"/>
      </w:tblPr>
      <w:tblGrid>
        <w:gridCol w:w="4856"/>
        <w:gridCol w:w="1979"/>
        <w:gridCol w:w="2700"/>
      </w:tblGrid>
      <w:tr w:rsidR="00374478" w:rsidRPr="005D1AD8" w14:paraId="17DE6E7C" w14:textId="77777777" w:rsidTr="00374478">
        <w:trPr>
          <w:trHeight w:val="300"/>
        </w:trPr>
        <w:tc>
          <w:tcPr>
            <w:tcW w:w="2546" w:type="pct"/>
            <w:tcBorders>
              <w:top w:val="single" w:sz="4" w:space="0" w:color="9BC2E6"/>
              <w:left w:val="single" w:sz="4" w:space="0" w:color="9BC2E6"/>
              <w:bottom w:val="single" w:sz="4" w:space="0" w:color="9BC2E6"/>
              <w:right w:val="nil"/>
            </w:tcBorders>
            <w:shd w:val="clear" w:color="5B9BD5" w:fill="5B9BD5"/>
            <w:noWrap/>
            <w:vAlign w:val="bottom"/>
            <w:hideMark/>
          </w:tcPr>
          <w:p w14:paraId="4B80D8EA" w14:textId="77777777" w:rsidR="005D1AD8" w:rsidRPr="005D1AD8" w:rsidRDefault="005D1AD8" w:rsidP="005D1AD8">
            <w:pPr>
              <w:widowControl/>
              <w:autoSpaceDE/>
              <w:autoSpaceDN/>
              <w:adjustRightInd/>
              <w:rPr>
                <w:rFonts w:eastAsia="Times New Roman" w:cs="Arial"/>
                <w:b/>
                <w:bCs/>
                <w:color w:val="FFFFFF"/>
                <w:szCs w:val="22"/>
              </w:rPr>
            </w:pPr>
            <w:r w:rsidRPr="005D1AD8">
              <w:rPr>
                <w:rFonts w:eastAsia="Times New Roman" w:cs="Arial"/>
                <w:b/>
                <w:bCs/>
                <w:color w:val="FFFFFF"/>
                <w:szCs w:val="22"/>
              </w:rPr>
              <w:t>Contract Title</w:t>
            </w:r>
          </w:p>
        </w:tc>
        <w:tc>
          <w:tcPr>
            <w:tcW w:w="1038" w:type="pct"/>
            <w:tcBorders>
              <w:top w:val="single" w:sz="4" w:space="0" w:color="9BC2E6"/>
              <w:left w:val="nil"/>
              <w:bottom w:val="single" w:sz="4" w:space="0" w:color="9BC2E6"/>
              <w:right w:val="nil"/>
            </w:tcBorders>
            <w:shd w:val="clear" w:color="5B9BD5" w:fill="5B9BD5"/>
            <w:noWrap/>
            <w:vAlign w:val="bottom"/>
            <w:hideMark/>
          </w:tcPr>
          <w:p w14:paraId="290E75E1" w14:textId="77777777" w:rsidR="005D1AD8" w:rsidRPr="005D1AD8" w:rsidRDefault="005D1AD8" w:rsidP="005D1AD8">
            <w:pPr>
              <w:widowControl/>
              <w:autoSpaceDE/>
              <w:autoSpaceDN/>
              <w:adjustRightInd/>
              <w:jc w:val="center"/>
              <w:rPr>
                <w:rFonts w:eastAsia="Times New Roman" w:cs="Arial"/>
                <w:b/>
                <w:bCs/>
                <w:color w:val="FFFFFF"/>
                <w:szCs w:val="22"/>
              </w:rPr>
            </w:pPr>
            <w:r w:rsidRPr="005D1AD8">
              <w:rPr>
                <w:rFonts w:eastAsia="Times New Roman" w:cs="Arial"/>
                <w:b/>
                <w:bCs/>
                <w:color w:val="FFFFFF"/>
                <w:szCs w:val="22"/>
              </w:rPr>
              <w:t>Number of Vendors</w:t>
            </w:r>
          </w:p>
        </w:tc>
        <w:tc>
          <w:tcPr>
            <w:tcW w:w="1416" w:type="pct"/>
            <w:tcBorders>
              <w:top w:val="single" w:sz="4" w:space="0" w:color="9BC2E6"/>
              <w:left w:val="nil"/>
              <w:bottom w:val="single" w:sz="4" w:space="0" w:color="9BC2E6"/>
              <w:right w:val="single" w:sz="4" w:space="0" w:color="9BC2E6"/>
            </w:tcBorders>
            <w:shd w:val="clear" w:color="5B9BD5" w:fill="5B9BD5"/>
            <w:noWrap/>
            <w:vAlign w:val="bottom"/>
            <w:hideMark/>
          </w:tcPr>
          <w:p w14:paraId="2ACD0FA8" w14:textId="77777777" w:rsidR="005D1AD8" w:rsidRPr="005D1AD8" w:rsidRDefault="005D1AD8" w:rsidP="003E58F8">
            <w:pPr>
              <w:widowControl/>
              <w:autoSpaceDE/>
              <w:autoSpaceDN/>
              <w:adjustRightInd/>
              <w:ind w:left="720"/>
              <w:jc w:val="center"/>
              <w:rPr>
                <w:rFonts w:eastAsia="Times New Roman" w:cs="Arial"/>
                <w:b/>
                <w:bCs/>
                <w:color w:val="FFFFFF"/>
                <w:szCs w:val="22"/>
              </w:rPr>
            </w:pPr>
            <w:r w:rsidRPr="005D1AD8">
              <w:rPr>
                <w:rFonts w:eastAsia="Times New Roman" w:cs="Arial"/>
                <w:b/>
                <w:bCs/>
                <w:color w:val="FFFFFF"/>
                <w:szCs w:val="22"/>
              </w:rPr>
              <w:t>FY21 Master Contract Spend</w:t>
            </w:r>
          </w:p>
        </w:tc>
      </w:tr>
      <w:tr w:rsidR="00374478" w:rsidRPr="005D1AD8" w14:paraId="43DEA6AB" w14:textId="77777777" w:rsidTr="003E58F8">
        <w:trPr>
          <w:trHeight w:val="285"/>
        </w:trPr>
        <w:tc>
          <w:tcPr>
            <w:tcW w:w="2546" w:type="pct"/>
            <w:tcBorders>
              <w:top w:val="single" w:sz="4" w:space="0" w:color="9BC2E6"/>
              <w:left w:val="single" w:sz="4" w:space="0" w:color="9BC2E6"/>
              <w:bottom w:val="single" w:sz="4" w:space="0" w:color="9BC2E6"/>
              <w:right w:val="nil"/>
            </w:tcBorders>
            <w:shd w:val="clear" w:color="DDEBF7" w:fill="DDEBF7"/>
            <w:noWrap/>
            <w:vAlign w:val="bottom"/>
            <w:hideMark/>
          </w:tcPr>
          <w:p w14:paraId="4B414557" w14:textId="77777777" w:rsidR="00374478" w:rsidRPr="005D1AD8" w:rsidRDefault="00374478" w:rsidP="00374478">
            <w:pPr>
              <w:widowControl/>
              <w:autoSpaceDE/>
              <w:autoSpaceDN/>
              <w:adjustRightInd/>
              <w:rPr>
                <w:rFonts w:eastAsia="Times New Roman" w:cs="Arial"/>
                <w:color w:val="000000"/>
                <w:szCs w:val="22"/>
              </w:rPr>
            </w:pPr>
            <w:r w:rsidRPr="005D1AD8">
              <w:rPr>
                <w:rFonts w:eastAsia="Times New Roman" w:cs="Arial"/>
                <w:color w:val="000000"/>
                <w:szCs w:val="22"/>
              </w:rPr>
              <w:t xml:space="preserve">NASPO </w:t>
            </w:r>
            <w:proofErr w:type="spellStart"/>
            <w:r w:rsidRPr="005D1AD8">
              <w:rPr>
                <w:rFonts w:eastAsia="Times New Roman" w:cs="Arial"/>
                <w:color w:val="000000"/>
                <w:szCs w:val="22"/>
              </w:rPr>
              <w:t>ValuePoint</w:t>
            </w:r>
            <w:proofErr w:type="spellEnd"/>
            <w:r w:rsidRPr="005D1AD8">
              <w:rPr>
                <w:rFonts w:eastAsia="Times New Roman" w:cs="Arial"/>
                <w:color w:val="000000"/>
                <w:szCs w:val="22"/>
              </w:rPr>
              <w:t xml:space="preserve"> Software Resellers</w:t>
            </w:r>
          </w:p>
        </w:tc>
        <w:tc>
          <w:tcPr>
            <w:tcW w:w="1038" w:type="pct"/>
            <w:tcBorders>
              <w:top w:val="single" w:sz="4" w:space="0" w:color="9BC2E6"/>
              <w:left w:val="nil"/>
              <w:bottom w:val="single" w:sz="4" w:space="0" w:color="9BC2E6"/>
              <w:right w:val="nil"/>
            </w:tcBorders>
            <w:shd w:val="clear" w:color="DDEBF7" w:fill="DDEBF7"/>
            <w:noWrap/>
            <w:vAlign w:val="bottom"/>
            <w:hideMark/>
          </w:tcPr>
          <w:p w14:paraId="220E0096" w14:textId="77777777" w:rsidR="00374478" w:rsidRPr="005D1AD8" w:rsidRDefault="00374478" w:rsidP="00374478">
            <w:pPr>
              <w:widowControl/>
              <w:autoSpaceDE/>
              <w:autoSpaceDN/>
              <w:adjustRightInd/>
              <w:jc w:val="center"/>
              <w:rPr>
                <w:rFonts w:eastAsia="Times New Roman" w:cs="Arial"/>
                <w:color w:val="000000"/>
                <w:szCs w:val="22"/>
              </w:rPr>
            </w:pPr>
            <w:r w:rsidRPr="005D1AD8">
              <w:rPr>
                <w:rFonts w:eastAsia="Times New Roman" w:cs="Arial"/>
                <w:color w:val="000000"/>
                <w:szCs w:val="22"/>
              </w:rPr>
              <w:t>4</w:t>
            </w:r>
          </w:p>
        </w:tc>
        <w:tc>
          <w:tcPr>
            <w:tcW w:w="1416" w:type="pct"/>
            <w:tcBorders>
              <w:top w:val="single" w:sz="4" w:space="0" w:color="9BC2E6"/>
              <w:left w:val="nil"/>
              <w:bottom w:val="single" w:sz="4" w:space="0" w:color="9BC2E6"/>
              <w:right w:val="single" w:sz="4" w:space="0" w:color="9BC2E6"/>
            </w:tcBorders>
            <w:shd w:val="clear" w:color="DDEBF7" w:fill="DDEBF7"/>
            <w:noWrap/>
            <w:vAlign w:val="bottom"/>
            <w:hideMark/>
          </w:tcPr>
          <w:p w14:paraId="0E393623" w14:textId="21A4BD18" w:rsidR="00374478" w:rsidRPr="005D1AD8"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56,949,583 </w:t>
            </w:r>
          </w:p>
        </w:tc>
      </w:tr>
      <w:tr w:rsidR="00374478" w:rsidRPr="005D1AD8" w14:paraId="10282067" w14:textId="77777777" w:rsidTr="003E58F8">
        <w:trPr>
          <w:trHeight w:val="285"/>
        </w:trPr>
        <w:tc>
          <w:tcPr>
            <w:tcW w:w="2546" w:type="pct"/>
            <w:tcBorders>
              <w:top w:val="single" w:sz="4" w:space="0" w:color="9BC2E6"/>
              <w:left w:val="single" w:sz="4" w:space="0" w:color="9BC2E6"/>
              <w:bottom w:val="single" w:sz="4" w:space="0" w:color="9BC2E6"/>
              <w:right w:val="nil"/>
            </w:tcBorders>
            <w:shd w:val="clear" w:color="auto" w:fill="auto"/>
            <w:noWrap/>
            <w:vAlign w:val="bottom"/>
            <w:hideMark/>
          </w:tcPr>
          <w:p w14:paraId="4FACD2AD" w14:textId="77777777" w:rsidR="00374478" w:rsidRPr="005D1AD8" w:rsidRDefault="00374478" w:rsidP="00374478">
            <w:pPr>
              <w:widowControl/>
              <w:autoSpaceDE/>
              <w:autoSpaceDN/>
              <w:adjustRightInd/>
              <w:rPr>
                <w:rFonts w:eastAsia="Times New Roman" w:cs="Arial"/>
                <w:color w:val="000000"/>
                <w:szCs w:val="22"/>
              </w:rPr>
            </w:pPr>
            <w:r w:rsidRPr="005D1AD8">
              <w:rPr>
                <w:rFonts w:eastAsia="Times New Roman" w:cs="Arial"/>
                <w:color w:val="000000"/>
                <w:szCs w:val="22"/>
              </w:rPr>
              <w:t>Computer Equipment</w:t>
            </w:r>
          </w:p>
        </w:tc>
        <w:tc>
          <w:tcPr>
            <w:tcW w:w="1038" w:type="pct"/>
            <w:tcBorders>
              <w:top w:val="single" w:sz="4" w:space="0" w:color="9BC2E6"/>
              <w:left w:val="nil"/>
              <w:bottom w:val="single" w:sz="4" w:space="0" w:color="9BC2E6"/>
              <w:right w:val="nil"/>
            </w:tcBorders>
            <w:shd w:val="clear" w:color="auto" w:fill="auto"/>
            <w:noWrap/>
            <w:vAlign w:val="bottom"/>
            <w:hideMark/>
          </w:tcPr>
          <w:p w14:paraId="341B078C" w14:textId="77777777" w:rsidR="00374478" w:rsidRPr="005D1AD8" w:rsidRDefault="00374478" w:rsidP="00374478">
            <w:pPr>
              <w:widowControl/>
              <w:autoSpaceDE/>
              <w:autoSpaceDN/>
              <w:adjustRightInd/>
              <w:jc w:val="center"/>
              <w:rPr>
                <w:rFonts w:eastAsia="Times New Roman" w:cs="Arial"/>
                <w:color w:val="000000"/>
                <w:szCs w:val="22"/>
              </w:rPr>
            </w:pPr>
            <w:r w:rsidRPr="005D1AD8">
              <w:rPr>
                <w:rFonts w:eastAsia="Times New Roman" w:cs="Arial"/>
                <w:color w:val="000000"/>
                <w:szCs w:val="22"/>
              </w:rPr>
              <w:t>12</w:t>
            </w:r>
          </w:p>
        </w:tc>
        <w:tc>
          <w:tcPr>
            <w:tcW w:w="1416" w:type="pct"/>
            <w:tcBorders>
              <w:top w:val="single" w:sz="4" w:space="0" w:color="9BC2E6"/>
              <w:left w:val="nil"/>
              <w:bottom w:val="single" w:sz="4" w:space="0" w:color="9BC2E6"/>
              <w:right w:val="single" w:sz="4" w:space="0" w:color="9BC2E6"/>
            </w:tcBorders>
            <w:shd w:val="clear" w:color="auto" w:fill="auto"/>
            <w:noWrap/>
            <w:vAlign w:val="bottom"/>
            <w:hideMark/>
          </w:tcPr>
          <w:p w14:paraId="0BFD5164" w14:textId="47F70BE6" w:rsidR="00374478" w:rsidRPr="005D1AD8"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53,421,188 </w:t>
            </w:r>
          </w:p>
        </w:tc>
      </w:tr>
      <w:tr w:rsidR="00374478" w:rsidRPr="005D1AD8" w14:paraId="0395F677" w14:textId="77777777" w:rsidTr="003E58F8">
        <w:trPr>
          <w:trHeight w:val="285"/>
        </w:trPr>
        <w:tc>
          <w:tcPr>
            <w:tcW w:w="2546" w:type="pct"/>
            <w:tcBorders>
              <w:top w:val="single" w:sz="4" w:space="0" w:color="9BC2E6"/>
              <w:left w:val="single" w:sz="4" w:space="0" w:color="9BC2E6"/>
              <w:bottom w:val="single" w:sz="4" w:space="0" w:color="9BC2E6"/>
              <w:right w:val="nil"/>
            </w:tcBorders>
            <w:shd w:val="clear" w:color="DDEBF7" w:fill="DDEBF7"/>
            <w:noWrap/>
            <w:vAlign w:val="bottom"/>
            <w:hideMark/>
          </w:tcPr>
          <w:p w14:paraId="6E6FD64C" w14:textId="77777777" w:rsidR="00374478" w:rsidRPr="005D1AD8" w:rsidRDefault="00374478" w:rsidP="00374478">
            <w:pPr>
              <w:widowControl/>
              <w:autoSpaceDE/>
              <w:autoSpaceDN/>
              <w:adjustRightInd/>
              <w:rPr>
                <w:rFonts w:eastAsia="Times New Roman" w:cs="Arial"/>
                <w:color w:val="000000"/>
                <w:szCs w:val="22"/>
              </w:rPr>
            </w:pPr>
            <w:r w:rsidRPr="005D1AD8">
              <w:rPr>
                <w:rFonts w:eastAsia="Times New Roman" w:cs="Arial"/>
                <w:color w:val="000000"/>
                <w:szCs w:val="22"/>
              </w:rPr>
              <w:t>Information Technology Professional Services</w:t>
            </w:r>
          </w:p>
        </w:tc>
        <w:tc>
          <w:tcPr>
            <w:tcW w:w="1038" w:type="pct"/>
            <w:tcBorders>
              <w:top w:val="single" w:sz="4" w:space="0" w:color="9BC2E6"/>
              <w:left w:val="nil"/>
              <w:bottom w:val="single" w:sz="4" w:space="0" w:color="9BC2E6"/>
              <w:right w:val="nil"/>
            </w:tcBorders>
            <w:shd w:val="clear" w:color="DDEBF7" w:fill="DDEBF7"/>
            <w:noWrap/>
            <w:vAlign w:val="bottom"/>
            <w:hideMark/>
          </w:tcPr>
          <w:p w14:paraId="537D1B5E" w14:textId="77777777" w:rsidR="00374478" w:rsidRPr="005D1AD8" w:rsidRDefault="00374478" w:rsidP="00374478">
            <w:pPr>
              <w:widowControl/>
              <w:autoSpaceDE/>
              <w:autoSpaceDN/>
              <w:adjustRightInd/>
              <w:jc w:val="center"/>
              <w:rPr>
                <w:rFonts w:eastAsia="Times New Roman" w:cs="Arial"/>
                <w:color w:val="000000"/>
                <w:szCs w:val="22"/>
              </w:rPr>
            </w:pPr>
            <w:r w:rsidRPr="005D1AD8">
              <w:rPr>
                <w:rFonts w:eastAsia="Times New Roman" w:cs="Arial"/>
                <w:color w:val="000000"/>
                <w:szCs w:val="22"/>
              </w:rPr>
              <w:t>90</w:t>
            </w:r>
          </w:p>
        </w:tc>
        <w:tc>
          <w:tcPr>
            <w:tcW w:w="1416" w:type="pct"/>
            <w:tcBorders>
              <w:top w:val="single" w:sz="4" w:space="0" w:color="9BC2E6"/>
              <w:left w:val="nil"/>
              <w:bottom w:val="single" w:sz="4" w:space="0" w:color="9BC2E6"/>
              <w:right w:val="single" w:sz="4" w:space="0" w:color="9BC2E6"/>
            </w:tcBorders>
            <w:shd w:val="clear" w:color="DDEBF7" w:fill="DDEBF7"/>
            <w:noWrap/>
            <w:vAlign w:val="bottom"/>
            <w:hideMark/>
          </w:tcPr>
          <w:p w14:paraId="018FC56F" w14:textId="6B905526" w:rsidR="00374478" w:rsidRPr="005D1AD8"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39,645,431 </w:t>
            </w:r>
          </w:p>
        </w:tc>
      </w:tr>
      <w:tr w:rsidR="00374478" w:rsidRPr="005D1AD8" w14:paraId="575598CE" w14:textId="77777777" w:rsidTr="003E58F8">
        <w:trPr>
          <w:trHeight w:val="300"/>
        </w:trPr>
        <w:tc>
          <w:tcPr>
            <w:tcW w:w="2546" w:type="pct"/>
            <w:tcBorders>
              <w:top w:val="single" w:sz="4" w:space="0" w:color="9BC2E6"/>
              <w:left w:val="single" w:sz="4" w:space="0" w:color="9BC2E6"/>
              <w:bottom w:val="single" w:sz="4" w:space="0" w:color="9BC2E6"/>
              <w:right w:val="nil"/>
            </w:tcBorders>
            <w:shd w:val="clear" w:color="auto" w:fill="auto"/>
            <w:noWrap/>
            <w:vAlign w:val="bottom"/>
            <w:hideMark/>
          </w:tcPr>
          <w:p w14:paraId="2B1CDD1E" w14:textId="77777777" w:rsidR="00374478" w:rsidRPr="005D1AD8" w:rsidRDefault="00374478" w:rsidP="00374478">
            <w:pPr>
              <w:widowControl/>
              <w:autoSpaceDE/>
              <w:autoSpaceDN/>
              <w:adjustRightInd/>
              <w:rPr>
                <w:rFonts w:eastAsia="Times New Roman" w:cs="Arial"/>
                <w:color w:val="000000"/>
                <w:szCs w:val="22"/>
              </w:rPr>
            </w:pPr>
            <w:r w:rsidRPr="005D1AD8">
              <w:rPr>
                <w:rFonts w:eastAsia="Times New Roman" w:cs="Arial"/>
                <w:color w:val="000000"/>
                <w:szCs w:val="22"/>
              </w:rPr>
              <w:t>Cloud Solutions</w:t>
            </w:r>
          </w:p>
        </w:tc>
        <w:tc>
          <w:tcPr>
            <w:tcW w:w="1038" w:type="pct"/>
            <w:tcBorders>
              <w:top w:val="single" w:sz="4" w:space="0" w:color="9BC2E6"/>
              <w:left w:val="nil"/>
              <w:bottom w:val="single" w:sz="4" w:space="0" w:color="9BC2E6"/>
              <w:right w:val="nil"/>
            </w:tcBorders>
            <w:shd w:val="clear" w:color="auto" w:fill="auto"/>
            <w:noWrap/>
            <w:vAlign w:val="bottom"/>
            <w:hideMark/>
          </w:tcPr>
          <w:p w14:paraId="0D5B9B7B" w14:textId="77777777" w:rsidR="00374478" w:rsidRPr="005D1AD8" w:rsidRDefault="00374478" w:rsidP="00374478">
            <w:pPr>
              <w:widowControl/>
              <w:autoSpaceDE/>
              <w:autoSpaceDN/>
              <w:adjustRightInd/>
              <w:jc w:val="center"/>
              <w:rPr>
                <w:rFonts w:eastAsia="Times New Roman" w:cs="Arial"/>
                <w:color w:val="000000"/>
                <w:szCs w:val="22"/>
              </w:rPr>
            </w:pPr>
            <w:r w:rsidRPr="005D1AD8">
              <w:rPr>
                <w:rFonts w:eastAsia="Times New Roman" w:cs="Arial"/>
                <w:color w:val="000000"/>
                <w:szCs w:val="22"/>
              </w:rPr>
              <w:t>9</w:t>
            </w:r>
          </w:p>
        </w:tc>
        <w:tc>
          <w:tcPr>
            <w:tcW w:w="1416" w:type="pct"/>
            <w:tcBorders>
              <w:top w:val="single" w:sz="4" w:space="0" w:color="9BC2E6"/>
              <w:left w:val="nil"/>
              <w:bottom w:val="single" w:sz="4" w:space="0" w:color="9BC2E6"/>
              <w:right w:val="single" w:sz="4" w:space="0" w:color="9BC2E6"/>
            </w:tcBorders>
            <w:shd w:val="clear" w:color="auto" w:fill="auto"/>
            <w:noWrap/>
            <w:vAlign w:val="bottom"/>
            <w:hideMark/>
          </w:tcPr>
          <w:p w14:paraId="0E686E21" w14:textId="1B1F8C31" w:rsidR="00374478" w:rsidRPr="005D1AD8"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17,417,382 </w:t>
            </w:r>
          </w:p>
        </w:tc>
      </w:tr>
      <w:tr w:rsidR="00374478" w:rsidRPr="005D1AD8" w14:paraId="7CFA7331" w14:textId="77777777" w:rsidTr="003E58F8">
        <w:trPr>
          <w:trHeight w:val="285"/>
        </w:trPr>
        <w:tc>
          <w:tcPr>
            <w:tcW w:w="2546" w:type="pct"/>
            <w:tcBorders>
              <w:top w:val="single" w:sz="4" w:space="0" w:color="9BC2E6"/>
              <w:left w:val="single" w:sz="4" w:space="0" w:color="9BC2E6"/>
              <w:bottom w:val="single" w:sz="4" w:space="0" w:color="9BC2E6"/>
              <w:right w:val="nil"/>
            </w:tcBorders>
            <w:shd w:val="clear" w:color="DDEBF7" w:fill="DDEBF7"/>
            <w:noWrap/>
            <w:vAlign w:val="bottom"/>
            <w:hideMark/>
          </w:tcPr>
          <w:p w14:paraId="09D3EA7F" w14:textId="77777777" w:rsidR="00374478" w:rsidRPr="005D1AD8" w:rsidRDefault="00374478" w:rsidP="00374478">
            <w:pPr>
              <w:widowControl/>
              <w:autoSpaceDE/>
              <w:autoSpaceDN/>
              <w:adjustRightInd/>
              <w:rPr>
                <w:rFonts w:eastAsia="Times New Roman" w:cs="Arial"/>
                <w:color w:val="000000"/>
                <w:szCs w:val="22"/>
              </w:rPr>
            </w:pPr>
            <w:r w:rsidRPr="005D1AD8">
              <w:rPr>
                <w:rFonts w:eastAsia="Times New Roman" w:cs="Arial"/>
                <w:color w:val="000000"/>
                <w:szCs w:val="22"/>
              </w:rPr>
              <w:t xml:space="preserve">NASPO </w:t>
            </w:r>
            <w:proofErr w:type="spellStart"/>
            <w:r w:rsidRPr="005D1AD8">
              <w:rPr>
                <w:rFonts w:eastAsia="Times New Roman" w:cs="Arial"/>
                <w:color w:val="000000"/>
                <w:szCs w:val="22"/>
              </w:rPr>
              <w:t>ValuePoint</w:t>
            </w:r>
            <w:proofErr w:type="spellEnd"/>
            <w:r w:rsidRPr="005D1AD8">
              <w:rPr>
                <w:rFonts w:eastAsia="Times New Roman" w:cs="Arial"/>
                <w:color w:val="000000"/>
                <w:szCs w:val="22"/>
              </w:rPr>
              <w:t xml:space="preserve"> Wireless Data, Voice, and Accessories</w:t>
            </w:r>
          </w:p>
        </w:tc>
        <w:tc>
          <w:tcPr>
            <w:tcW w:w="1038" w:type="pct"/>
            <w:tcBorders>
              <w:top w:val="single" w:sz="4" w:space="0" w:color="9BC2E6"/>
              <w:left w:val="nil"/>
              <w:bottom w:val="single" w:sz="4" w:space="0" w:color="9BC2E6"/>
              <w:right w:val="nil"/>
            </w:tcBorders>
            <w:shd w:val="clear" w:color="DDEBF7" w:fill="DDEBF7"/>
            <w:noWrap/>
            <w:vAlign w:val="bottom"/>
            <w:hideMark/>
          </w:tcPr>
          <w:p w14:paraId="21D7C93A" w14:textId="77777777" w:rsidR="00374478" w:rsidRPr="005D1AD8" w:rsidRDefault="00374478" w:rsidP="00374478">
            <w:pPr>
              <w:widowControl/>
              <w:autoSpaceDE/>
              <w:autoSpaceDN/>
              <w:adjustRightInd/>
              <w:jc w:val="center"/>
              <w:rPr>
                <w:rFonts w:eastAsia="Times New Roman" w:cs="Arial"/>
                <w:color w:val="000000"/>
                <w:szCs w:val="22"/>
              </w:rPr>
            </w:pPr>
            <w:r w:rsidRPr="005D1AD8">
              <w:rPr>
                <w:rFonts w:eastAsia="Times New Roman" w:cs="Arial"/>
                <w:color w:val="000000"/>
                <w:szCs w:val="22"/>
              </w:rPr>
              <w:t>5</w:t>
            </w:r>
          </w:p>
        </w:tc>
        <w:tc>
          <w:tcPr>
            <w:tcW w:w="1416" w:type="pct"/>
            <w:tcBorders>
              <w:top w:val="single" w:sz="4" w:space="0" w:color="9BC2E6"/>
              <w:left w:val="nil"/>
              <w:bottom w:val="single" w:sz="4" w:space="0" w:color="9BC2E6"/>
              <w:right w:val="single" w:sz="4" w:space="0" w:color="9BC2E6"/>
            </w:tcBorders>
            <w:shd w:val="clear" w:color="DDEBF7" w:fill="DDEBF7"/>
            <w:noWrap/>
            <w:vAlign w:val="bottom"/>
            <w:hideMark/>
          </w:tcPr>
          <w:p w14:paraId="6E4F8DA9" w14:textId="2451F12B" w:rsidR="00374478" w:rsidRPr="005D1AD8"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13,083,048 </w:t>
            </w:r>
          </w:p>
        </w:tc>
      </w:tr>
      <w:tr w:rsidR="00374478" w:rsidRPr="005D1AD8" w14:paraId="565BDE68" w14:textId="77777777" w:rsidTr="003E58F8">
        <w:trPr>
          <w:trHeight w:val="285"/>
        </w:trPr>
        <w:tc>
          <w:tcPr>
            <w:tcW w:w="2546" w:type="pct"/>
            <w:tcBorders>
              <w:top w:val="single" w:sz="4" w:space="0" w:color="9BC2E6"/>
              <w:left w:val="single" w:sz="4" w:space="0" w:color="9BC2E6"/>
              <w:bottom w:val="single" w:sz="4" w:space="0" w:color="9BC2E6"/>
              <w:right w:val="nil"/>
            </w:tcBorders>
            <w:shd w:val="clear" w:color="auto" w:fill="auto"/>
            <w:noWrap/>
            <w:vAlign w:val="bottom"/>
            <w:hideMark/>
          </w:tcPr>
          <w:p w14:paraId="2F222719" w14:textId="77777777" w:rsidR="00374478" w:rsidRPr="005D1AD8" w:rsidRDefault="00374478" w:rsidP="00374478">
            <w:pPr>
              <w:widowControl/>
              <w:autoSpaceDE/>
              <w:autoSpaceDN/>
              <w:adjustRightInd/>
              <w:rPr>
                <w:rFonts w:eastAsia="Times New Roman" w:cs="Arial"/>
                <w:color w:val="000000"/>
                <w:szCs w:val="22"/>
              </w:rPr>
            </w:pPr>
            <w:r w:rsidRPr="005D1AD8">
              <w:rPr>
                <w:rFonts w:eastAsia="Times New Roman" w:cs="Arial"/>
                <w:color w:val="000000"/>
                <w:szCs w:val="22"/>
              </w:rPr>
              <w:t>Copiers and Managed Print Services</w:t>
            </w:r>
          </w:p>
        </w:tc>
        <w:tc>
          <w:tcPr>
            <w:tcW w:w="1038" w:type="pct"/>
            <w:tcBorders>
              <w:top w:val="single" w:sz="4" w:space="0" w:color="9BC2E6"/>
              <w:left w:val="nil"/>
              <w:bottom w:val="single" w:sz="4" w:space="0" w:color="9BC2E6"/>
              <w:right w:val="nil"/>
            </w:tcBorders>
            <w:shd w:val="clear" w:color="auto" w:fill="auto"/>
            <w:noWrap/>
            <w:vAlign w:val="bottom"/>
            <w:hideMark/>
          </w:tcPr>
          <w:p w14:paraId="4C42AD24" w14:textId="77777777" w:rsidR="00374478" w:rsidRPr="005D1AD8" w:rsidRDefault="00374478" w:rsidP="00374478">
            <w:pPr>
              <w:widowControl/>
              <w:autoSpaceDE/>
              <w:autoSpaceDN/>
              <w:adjustRightInd/>
              <w:jc w:val="center"/>
              <w:rPr>
                <w:rFonts w:eastAsia="Times New Roman" w:cs="Arial"/>
                <w:color w:val="000000"/>
                <w:szCs w:val="22"/>
              </w:rPr>
            </w:pPr>
            <w:r w:rsidRPr="005D1AD8">
              <w:rPr>
                <w:rFonts w:eastAsia="Times New Roman" w:cs="Arial"/>
                <w:color w:val="000000"/>
                <w:szCs w:val="22"/>
              </w:rPr>
              <w:t>6</w:t>
            </w:r>
          </w:p>
        </w:tc>
        <w:tc>
          <w:tcPr>
            <w:tcW w:w="1416" w:type="pct"/>
            <w:tcBorders>
              <w:top w:val="single" w:sz="4" w:space="0" w:color="9BC2E6"/>
              <w:left w:val="nil"/>
              <w:bottom w:val="single" w:sz="4" w:space="0" w:color="9BC2E6"/>
              <w:right w:val="single" w:sz="4" w:space="0" w:color="9BC2E6"/>
            </w:tcBorders>
            <w:shd w:val="clear" w:color="auto" w:fill="auto"/>
            <w:noWrap/>
            <w:vAlign w:val="bottom"/>
            <w:hideMark/>
          </w:tcPr>
          <w:p w14:paraId="34F92DB9" w14:textId="769DCF64" w:rsidR="00374478" w:rsidRPr="005D1AD8"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7,727,696 </w:t>
            </w:r>
          </w:p>
        </w:tc>
      </w:tr>
      <w:tr w:rsidR="00374478" w:rsidRPr="005D1AD8" w14:paraId="0E7FBB7E" w14:textId="77777777" w:rsidTr="003E58F8">
        <w:trPr>
          <w:trHeight w:val="285"/>
        </w:trPr>
        <w:tc>
          <w:tcPr>
            <w:tcW w:w="2546" w:type="pct"/>
            <w:tcBorders>
              <w:top w:val="single" w:sz="4" w:space="0" w:color="9BC2E6"/>
              <w:left w:val="single" w:sz="4" w:space="0" w:color="9BC2E6"/>
              <w:bottom w:val="single" w:sz="4" w:space="0" w:color="9BC2E6"/>
              <w:right w:val="nil"/>
            </w:tcBorders>
            <w:shd w:val="clear" w:color="DDEBF7" w:fill="DDEBF7"/>
            <w:noWrap/>
            <w:vAlign w:val="bottom"/>
            <w:hideMark/>
          </w:tcPr>
          <w:p w14:paraId="1D703192" w14:textId="77777777" w:rsidR="00374478" w:rsidRPr="005D1AD8" w:rsidRDefault="00374478" w:rsidP="00374478">
            <w:pPr>
              <w:widowControl/>
              <w:autoSpaceDE/>
              <w:autoSpaceDN/>
              <w:adjustRightInd/>
              <w:rPr>
                <w:rFonts w:eastAsia="Times New Roman" w:cs="Arial"/>
                <w:color w:val="000000"/>
                <w:szCs w:val="22"/>
              </w:rPr>
            </w:pPr>
            <w:r w:rsidRPr="005D1AD8">
              <w:rPr>
                <w:rFonts w:eastAsia="Times New Roman" w:cs="Arial"/>
                <w:color w:val="000000"/>
                <w:szCs w:val="22"/>
              </w:rPr>
              <w:t>Data Communications (NASPO)</w:t>
            </w:r>
          </w:p>
        </w:tc>
        <w:tc>
          <w:tcPr>
            <w:tcW w:w="1038" w:type="pct"/>
            <w:tcBorders>
              <w:top w:val="single" w:sz="4" w:space="0" w:color="9BC2E6"/>
              <w:left w:val="nil"/>
              <w:bottom w:val="single" w:sz="4" w:space="0" w:color="9BC2E6"/>
              <w:right w:val="nil"/>
            </w:tcBorders>
            <w:shd w:val="clear" w:color="DDEBF7" w:fill="DDEBF7"/>
            <w:noWrap/>
            <w:vAlign w:val="bottom"/>
            <w:hideMark/>
          </w:tcPr>
          <w:p w14:paraId="742A7631" w14:textId="77777777" w:rsidR="00374478" w:rsidRPr="005D1AD8" w:rsidRDefault="00374478" w:rsidP="00374478">
            <w:pPr>
              <w:widowControl/>
              <w:autoSpaceDE/>
              <w:autoSpaceDN/>
              <w:adjustRightInd/>
              <w:jc w:val="center"/>
              <w:rPr>
                <w:rFonts w:eastAsia="Times New Roman" w:cs="Arial"/>
                <w:color w:val="000000"/>
                <w:szCs w:val="22"/>
              </w:rPr>
            </w:pPr>
            <w:r w:rsidRPr="005D1AD8">
              <w:rPr>
                <w:rFonts w:eastAsia="Times New Roman" w:cs="Arial"/>
                <w:color w:val="000000"/>
                <w:szCs w:val="22"/>
              </w:rPr>
              <w:t>3</w:t>
            </w:r>
          </w:p>
        </w:tc>
        <w:tc>
          <w:tcPr>
            <w:tcW w:w="1416" w:type="pct"/>
            <w:tcBorders>
              <w:top w:val="single" w:sz="4" w:space="0" w:color="9BC2E6"/>
              <w:left w:val="nil"/>
              <w:bottom w:val="single" w:sz="4" w:space="0" w:color="9BC2E6"/>
              <w:right w:val="single" w:sz="4" w:space="0" w:color="9BC2E6"/>
            </w:tcBorders>
            <w:shd w:val="clear" w:color="DDEBF7" w:fill="DDEBF7"/>
            <w:noWrap/>
            <w:vAlign w:val="bottom"/>
            <w:hideMark/>
          </w:tcPr>
          <w:p w14:paraId="1C0532EF" w14:textId="2F5492D4" w:rsidR="00374478" w:rsidRPr="005D1AD8"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6,394,192 </w:t>
            </w:r>
          </w:p>
        </w:tc>
      </w:tr>
      <w:tr w:rsidR="00374478" w:rsidRPr="005D1AD8" w14:paraId="0C66A782" w14:textId="77777777" w:rsidTr="003E58F8">
        <w:trPr>
          <w:trHeight w:val="285"/>
        </w:trPr>
        <w:tc>
          <w:tcPr>
            <w:tcW w:w="2546" w:type="pct"/>
            <w:tcBorders>
              <w:top w:val="single" w:sz="4" w:space="0" w:color="9BC2E6"/>
              <w:left w:val="single" w:sz="4" w:space="0" w:color="9BC2E6"/>
              <w:bottom w:val="single" w:sz="4" w:space="0" w:color="9BC2E6"/>
              <w:right w:val="nil"/>
            </w:tcBorders>
            <w:shd w:val="clear" w:color="auto" w:fill="auto"/>
            <w:noWrap/>
            <w:vAlign w:val="bottom"/>
            <w:hideMark/>
          </w:tcPr>
          <w:p w14:paraId="55487AE2" w14:textId="77777777" w:rsidR="00374478" w:rsidRPr="005D1AD8" w:rsidRDefault="00374478" w:rsidP="00374478">
            <w:pPr>
              <w:widowControl/>
              <w:autoSpaceDE/>
              <w:autoSpaceDN/>
              <w:adjustRightInd/>
              <w:rPr>
                <w:rFonts w:eastAsia="Times New Roman" w:cs="Arial"/>
                <w:color w:val="000000"/>
                <w:szCs w:val="22"/>
              </w:rPr>
            </w:pPr>
            <w:r w:rsidRPr="005D1AD8">
              <w:rPr>
                <w:rFonts w:eastAsia="Times New Roman" w:cs="Arial"/>
                <w:color w:val="000000"/>
                <w:szCs w:val="22"/>
              </w:rPr>
              <w:t>Security Technology Services</w:t>
            </w:r>
          </w:p>
        </w:tc>
        <w:tc>
          <w:tcPr>
            <w:tcW w:w="1038" w:type="pct"/>
            <w:tcBorders>
              <w:top w:val="single" w:sz="4" w:space="0" w:color="9BC2E6"/>
              <w:left w:val="nil"/>
              <w:bottom w:val="single" w:sz="4" w:space="0" w:color="9BC2E6"/>
              <w:right w:val="nil"/>
            </w:tcBorders>
            <w:shd w:val="clear" w:color="auto" w:fill="auto"/>
            <w:noWrap/>
            <w:vAlign w:val="bottom"/>
            <w:hideMark/>
          </w:tcPr>
          <w:p w14:paraId="589F0D16" w14:textId="77777777" w:rsidR="00374478" w:rsidRPr="005D1AD8" w:rsidRDefault="00374478" w:rsidP="00374478">
            <w:pPr>
              <w:widowControl/>
              <w:autoSpaceDE/>
              <w:autoSpaceDN/>
              <w:adjustRightInd/>
              <w:jc w:val="center"/>
              <w:rPr>
                <w:rFonts w:eastAsia="Times New Roman" w:cs="Arial"/>
                <w:color w:val="000000"/>
                <w:szCs w:val="22"/>
              </w:rPr>
            </w:pPr>
            <w:r w:rsidRPr="005D1AD8">
              <w:rPr>
                <w:rFonts w:eastAsia="Times New Roman" w:cs="Arial"/>
                <w:color w:val="000000"/>
                <w:szCs w:val="22"/>
              </w:rPr>
              <w:t>5</w:t>
            </w:r>
          </w:p>
        </w:tc>
        <w:tc>
          <w:tcPr>
            <w:tcW w:w="1416" w:type="pct"/>
            <w:tcBorders>
              <w:top w:val="single" w:sz="4" w:space="0" w:color="9BC2E6"/>
              <w:left w:val="nil"/>
              <w:bottom w:val="single" w:sz="4" w:space="0" w:color="9BC2E6"/>
              <w:right w:val="single" w:sz="4" w:space="0" w:color="9BC2E6"/>
            </w:tcBorders>
            <w:shd w:val="clear" w:color="auto" w:fill="auto"/>
            <w:noWrap/>
            <w:vAlign w:val="bottom"/>
            <w:hideMark/>
          </w:tcPr>
          <w:p w14:paraId="68C5EECA" w14:textId="5A919D3D" w:rsidR="00374478" w:rsidRPr="005D1AD8"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4,426,776 </w:t>
            </w:r>
          </w:p>
        </w:tc>
      </w:tr>
      <w:tr w:rsidR="00374478" w:rsidRPr="005D1AD8" w14:paraId="730B5744" w14:textId="77777777" w:rsidTr="003E58F8">
        <w:trPr>
          <w:trHeight w:val="285"/>
        </w:trPr>
        <w:tc>
          <w:tcPr>
            <w:tcW w:w="2546" w:type="pct"/>
            <w:tcBorders>
              <w:top w:val="single" w:sz="4" w:space="0" w:color="9BC2E6"/>
              <w:left w:val="single" w:sz="4" w:space="0" w:color="9BC2E6"/>
              <w:bottom w:val="single" w:sz="4" w:space="0" w:color="9BC2E6"/>
              <w:right w:val="nil"/>
            </w:tcBorders>
            <w:shd w:val="clear" w:color="DDEBF7" w:fill="DDEBF7"/>
            <w:noWrap/>
            <w:vAlign w:val="bottom"/>
            <w:hideMark/>
          </w:tcPr>
          <w:p w14:paraId="5934DDD2" w14:textId="77777777" w:rsidR="00374478" w:rsidRPr="005D1AD8" w:rsidRDefault="00374478" w:rsidP="00374478">
            <w:pPr>
              <w:widowControl/>
              <w:autoSpaceDE/>
              <w:autoSpaceDN/>
              <w:adjustRightInd/>
              <w:rPr>
                <w:rFonts w:eastAsia="Times New Roman" w:cs="Arial"/>
                <w:color w:val="000000"/>
                <w:szCs w:val="22"/>
              </w:rPr>
            </w:pPr>
            <w:r w:rsidRPr="005D1AD8">
              <w:rPr>
                <w:rFonts w:eastAsia="Times New Roman" w:cs="Arial"/>
                <w:color w:val="000000"/>
                <w:szCs w:val="22"/>
              </w:rPr>
              <w:t>NASPO Data Communications</w:t>
            </w:r>
          </w:p>
        </w:tc>
        <w:tc>
          <w:tcPr>
            <w:tcW w:w="1038" w:type="pct"/>
            <w:tcBorders>
              <w:top w:val="single" w:sz="4" w:space="0" w:color="9BC2E6"/>
              <w:left w:val="nil"/>
              <w:bottom w:val="single" w:sz="4" w:space="0" w:color="9BC2E6"/>
              <w:right w:val="nil"/>
            </w:tcBorders>
            <w:shd w:val="clear" w:color="DDEBF7" w:fill="DDEBF7"/>
            <w:noWrap/>
            <w:vAlign w:val="bottom"/>
            <w:hideMark/>
          </w:tcPr>
          <w:p w14:paraId="5C2EB8F3" w14:textId="77777777" w:rsidR="00374478" w:rsidRPr="005D1AD8" w:rsidRDefault="00374478" w:rsidP="00374478">
            <w:pPr>
              <w:widowControl/>
              <w:autoSpaceDE/>
              <w:autoSpaceDN/>
              <w:adjustRightInd/>
              <w:jc w:val="center"/>
              <w:rPr>
                <w:rFonts w:eastAsia="Times New Roman" w:cs="Arial"/>
                <w:color w:val="000000"/>
                <w:szCs w:val="22"/>
              </w:rPr>
            </w:pPr>
            <w:r w:rsidRPr="005D1AD8">
              <w:rPr>
                <w:rFonts w:eastAsia="Times New Roman" w:cs="Arial"/>
                <w:color w:val="000000"/>
                <w:szCs w:val="22"/>
              </w:rPr>
              <w:t>6</w:t>
            </w:r>
          </w:p>
        </w:tc>
        <w:tc>
          <w:tcPr>
            <w:tcW w:w="1416" w:type="pct"/>
            <w:tcBorders>
              <w:top w:val="single" w:sz="4" w:space="0" w:color="9BC2E6"/>
              <w:left w:val="nil"/>
              <w:bottom w:val="single" w:sz="4" w:space="0" w:color="9BC2E6"/>
              <w:right w:val="single" w:sz="4" w:space="0" w:color="9BC2E6"/>
            </w:tcBorders>
            <w:shd w:val="clear" w:color="DDEBF7" w:fill="DDEBF7"/>
            <w:noWrap/>
            <w:vAlign w:val="bottom"/>
            <w:hideMark/>
          </w:tcPr>
          <w:p w14:paraId="077A1F31" w14:textId="1F4A1F47" w:rsidR="00374478" w:rsidRPr="005D1AD8"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4,342,013 </w:t>
            </w:r>
          </w:p>
        </w:tc>
      </w:tr>
      <w:tr w:rsidR="00374478" w:rsidRPr="005D1AD8" w14:paraId="255F8FE0" w14:textId="77777777" w:rsidTr="003E58F8">
        <w:trPr>
          <w:trHeight w:val="285"/>
        </w:trPr>
        <w:tc>
          <w:tcPr>
            <w:tcW w:w="2546" w:type="pct"/>
            <w:tcBorders>
              <w:top w:val="single" w:sz="4" w:space="0" w:color="9BC2E6"/>
              <w:left w:val="single" w:sz="4" w:space="0" w:color="9BC2E6"/>
              <w:bottom w:val="single" w:sz="4" w:space="0" w:color="9BC2E6"/>
              <w:right w:val="nil"/>
            </w:tcBorders>
            <w:shd w:val="clear" w:color="auto" w:fill="auto"/>
            <w:noWrap/>
            <w:vAlign w:val="bottom"/>
            <w:hideMark/>
          </w:tcPr>
          <w:p w14:paraId="151FBBF3" w14:textId="77777777" w:rsidR="00374478" w:rsidRPr="005D1AD8" w:rsidRDefault="00374478" w:rsidP="00374478">
            <w:pPr>
              <w:widowControl/>
              <w:autoSpaceDE/>
              <w:autoSpaceDN/>
              <w:adjustRightInd/>
              <w:rPr>
                <w:rFonts w:eastAsia="Times New Roman" w:cs="Arial"/>
                <w:color w:val="000000"/>
                <w:szCs w:val="22"/>
              </w:rPr>
            </w:pPr>
            <w:r w:rsidRPr="005D1AD8">
              <w:rPr>
                <w:rFonts w:eastAsia="Times New Roman" w:cs="Arial"/>
                <w:color w:val="000000"/>
                <w:szCs w:val="22"/>
              </w:rPr>
              <w:t>Organizational Development</w:t>
            </w:r>
          </w:p>
        </w:tc>
        <w:tc>
          <w:tcPr>
            <w:tcW w:w="1038" w:type="pct"/>
            <w:tcBorders>
              <w:top w:val="single" w:sz="4" w:space="0" w:color="9BC2E6"/>
              <w:left w:val="nil"/>
              <w:bottom w:val="single" w:sz="4" w:space="0" w:color="9BC2E6"/>
              <w:right w:val="nil"/>
            </w:tcBorders>
            <w:shd w:val="clear" w:color="auto" w:fill="auto"/>
            <w:noWrap/>
            <w:vAlign w:val="bottom"/>
            <w:hideMark/>
          </w:tcPr>
          <w:p w14:paraId="7D7A10A5" w14:textId="77777777" w:rsidR="00374478" w:rsidRPr="005D1AD8" w:rsidRDefault="00374478" w:rsidP="00374478">
            <w:pPr>
              <w:widowControl/>
              <w:autoSpaceDE/>
              <w:autoSpaceDN/>
              <w:adjustRightInd/>
              <w:jc w:val="center"/>
              <w:rPr>
                <w:rFonts w:eastAsia="Times New Roman" w:cs="Arial"/>
                <w:color w:val="000000"/>
                <w:szCs w:val="22"/>
              </w:rPr>
            </w:pPr>
            <w:r w:rsidRPr="005D1AD8">
              <w:rPr>
                <w:rFonts w:eastAsia="Times New Roman" w:cs="Arial"/>
                <w:color w:val="000000"/>
                <w:szCs w:val="22"/>
              </w:rPr>
              <w:t>10</w:t>
            </w:r>
          </w:p>
        </w:tc>
        <w:tc>
          <w:tcPr>
            <w:tcW w:w="1416" w:type="pct"/>
            <w:tcBorders>
              <w:top w:val="single" w:sz="4" w:space="0" w:color="9BC2E6"/>
              <w:left w:val="nil"/>
              <w:bottom w:val="single" w:sz="4" w:space="0" w:color="9BC2E6"/>
              <w:right w:val="single" w:sz="4" w:space="0" w:color="9BC2E6"/>
            </w:tcBorders>
            <w:shd w:val="clear" w:color="auto" w:fill="auto"/>
            <w:noWrap/>
            <w:vAlign w:val="bottom"/>
            <w:hideMark/>
          </w:tcPr>
          <w:p w14:paraId="4EDD930F" w14:textId="799EB2C4" w:rsidR="00374478" w:rsidRPr="005D1AD8"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3,517,939 </w:t>
            </w:r>
          </w:p>
        </w:tc>
      </w:tr>
    </w:tbl>
    <w:p w14:paraId="201B826F" w14:textId="1E5B63CF" w:rsidR="006122AB" w:rsidRPr="00733D15" w:rsidRDefault="006122AB" w:rsidP="00356746">
      <w:pPr>
        <w:spacing w:before="360"/>
        <w:jc w:val="both"/>
        <w:rPr>
          <w:rFonts w:cs="Arial"/>
          <w:b/>
          <w:szCs w:val="20"/>
        </w:rPr>
      </w:pPr>
      <w:r w:rsidRPr="00733D15">
        <w:rPr>
          <w:rFonts w:cs="Arial"/>
          <w:b/>
          <w:szCs w:val="20"/>
        </w:rPr>
        <w:t xml:space="preserve">Political Subdivisions and Qualified Non-Profits Summary </w:t>
      </w:r>
    </w:p>
    <w:p w14:paraId="5A6790FF" w14:textId="77777777" w:rsidR="006122AB" w:rsidRPr="008569EB" w:rsidRDefault="006122AB" w:rsidP="00B70C61">
      <w:pPr>
        <w:jc w:val="both"/>
        <w:rPr>
          <w:rFonts w:cs="Arial"/>
        </w:rPr>
      </w:pPr>
    </w:p>
    <w:tbl>
      <w:tblPr>
        <w:tblW w:w="5099" w:type="pct"/>
        <w:tblLayout w:type="fixed"/>
        <w:tblLook w:val="04A0" w:firstRow="1" w:lastRow="0" w:firstColumn="1" w:lastColumn="0" w:noHBand="0" w:noVBand="1"/>
      </w:tblPr>
      <w:tblGrid>
        <w:gridCol w:w="4765"/>
        <w:gridCol w:w="2161"/>
        <w:gridCol w:w="2609"/>
      </w:tblGrid>
      <w:tr w:rsidR="005D1AD8" w:rsidRPr="005D1AD8" w14:paraId="08693943" w14:textId="77777777" w:rsidTr="003E58F8">
        <w:trPr>
          <w:trHeight w:val="600"/>
        </w:trPr>
        <w:tc>
          <w:tcPr>
            <w:tcW w:w="2499" w:type="pct"/>
            <w:tcBorders>
              <w:top w:val="single" w:sz="4" w:space="0" w:color="F4B084"/>
              <w:left w:val="single" w:sz="4" w:space="0" w:color="F4B084"/>
              <w:bottom w:val="single" w:sz="4" w:space="0" w:color="F4B084"/>
              <w:right w:val="nil"/>
            </w:tcBorders>
            <w:shd w:val="clear" w:color="ED7D31" w:fill="ED7D31"/>
            <w:noWrap/>
            <w:vAlign w:val="bottom"/>
            <w:hideMark/>
          </w:tcPr>
          <w:p w14:paraId="6D86B747" w14:textId="77777777" w:rsidR="005D1AD8" w:rsidRPr="005D1AD8" w:rsidRDefault="005D1AD8" w:rsidP="005D1AD8">
            <w:pPr>
              <w:widowControl/>
              <w:autoSpaceDE/>
              <w:autoSpaceDN/>
              <w:adjustRightInd/>
              <w:rPr>
                <w:rFonts w:eastAsia="Times New Roman" w:cs="Arial"/>
                <w:b/>
                <w:bCs/>
                <w:color w:val="FFFFFF"/>
                <w:szCs w:val="22"/>
              </w:rPr>
            </w:pPr>
            <w:r w:rsidRPr="005D1AD8">
              <w:rPr>
                <w:rFonts w:eastAsia="Times New Roman" w:cs="Arial"/>
                <w:b/>
                <w:bCs/>
                <w:color w:val="FFFFFF"/>
                <w:szCs w:val="22"/>
              </w:rPr>
              <w:t>Contract Title</w:t>
            </w:r>
          </w:p>
        </w:tc>
        <w:tc>
          <w:tcPr>
            <w:tcW w:w="1133" w:type="pct"/>
            <w:tcBorders>
              <w:top w:val="single" w:sz="4" w:space="0" w:color="F4B084"/>
              <w:left w:val="nil"/>
              <w:bottom w:val="single" w:sz="4" w:space="0" w:color="F4B084"/>
              <w:right w:val="nil"/>
            </w:tcBorders>
            <w:shd w:val="clear" w:color="ED7D31" w:fill="ED7D31"/>
            <w:noWrap/>
            <w:vAlign w:val="bottom"/>
            <w:hideMark/>
          </w:tcPr>
          <w:p w14:paraId="64320152" w14:textId="77777777" w:rsidR="005D1AD8" w:rsidRPr="005D1AD8" w:rsidRDefault="005D1AD8" w:rsidP="005D1AD8">
            <w:pPr>
              <w:widowControl/>
              <w:autoSpaceDE/>
              <w:autoSpaceDN/>
              <w:adjustRightInd/>
              <w:jc w:val="center"/>
              <w:rPr>
                <w:rFonts w:eastAsia="Times New Roman" w:cs="Arial"/>
                <w:b/>
                <w:bCs/>
                <w:color w:val="FFFFFF"/>
                <w:szCs w:val="22"/>
              </w:rPr>
            </w:pPr>
            <w:r w:rsidRPr="005D1AD8">
              <w:rPr>
                <w:rFonts w:eastAsia="Times New Roman" w:cs="Arial"/>
                <w:b/>
                <w:bCs/>
                <w:color w:val="FFFFFF"/>
                <w:szCs w:val="22"/>
              </w:rPr>
              <w:t>Number of Vendors</w:t>
            </w:r>
          </w:p>
        </w:tc>
        <w:tc>
          <w:tcPr>
            <w:tcW w:w="1369" w:type="pct"/>
            <w:tcBorders>
              <w:top w:val="single" w:sz="4" w:space="0" w:color="F4B084"/>
              <w:left w:val="nil"/>
              <w:bottom w:val="single" w:sz="4" w:space="0" w:color="F4B084"/>
              <w:right w:val="single" w:sz="4" w:space="0" w:color="F4B084"/>
            </w:tcBorders>
            <w:shd w:val="clear" w:color="ED7D31" w:fill="ED7D31"/>
            <w:vAlign w:val="bottom"/>
            <w:hideMark/>
          </w:tcPr>
          <w:p w14:paraId="6D69A198" w14:textId="77777777" w:rsidR="005D1AD8" w:rsidRPr="005D1AD8" w:rsidRDefault="005D1AD8" w:rsidP="003E58F8">
            <w:pPr>
              <w:widowControl/>
              <w:autoSpaceDE/>
              <w:autoSpaceDN/>
              <w:adjustRightInd/>
              <w:ind w:left="720"/>
              <w:jc w:val="center"/>
              <w:rPr>
                <w:rFonts w:eastAsia="Times New Roman" w:cs="Arial"/>
                <w:b/>
                <w:bCs/>
                <w:color w:val="FFFFFF"/>
                <w:szCs w:val="22"/>
              </w:rPr>
            </w:pPr>
            <w:r w:rsidRPr="005D1AD8">
              <w:rPr>
                <w:rFonts w:eastAsia="Times New Roman" w:cs="Arial"/>
                <w:b/>
                <w:bCs/>
                <w:color w:val="FFFFFF"/>
                <w:szCs w:val="22"/>
              </w:rPr>
              <w:t>FY21 Master Contract Spend</w:t>
            </w:r>
          </w:p>
        </w:tc>
      </w:tr>
      <w:tr w:rsidR="00374478" w:rsidRPr="005D1AD8" w14:paraId="6747E54B" w14:textId="77777777" w:rsidTr="003E58F8">
        <w:trPr>
          <w:trHeight w:val="285"/>
        </w:trPr>
        <w:tc>
          <w:tcPr>
            <w:tcW w:w="2499" w:type="pct"/>
            <w:tcBorders>
              <w:top w:val="single" w:sz="4" w:space="0" w:color="F4B084"/>
              <w:left w:val="single" w:sz="4" w:space="0" w:color="F4B084"/>
              <w:bottom w:val="single" w:sz="4" w:space="0" w:color="F4B084"/>
              <w:right w:val="nil"/>
            </w:tcBorders>
            <w:shd w:val="clear" w:color="FCE4D6" w:fill="FCE4D6"/>
            <w:noWrap/>
            <w:vAlign w:val="bottom"/>
            <w:hideMark/>
          </w:tcPr>
          <w:p w14:paraId="47C66853" w14:textId="77777777" w:rsidR="00374478" w:rsidRPr="005D1AD8" w:rsidRDefault="00374478" w:rsidP="00374478">
            <w:pPr>
              <w:widowControl/>
              <w:autoSpaceDE/>
              <w:autoSpaceDN/>
              <w:adjustRightInd/>
              <w:rPr>
                <w:rFonts w:eastAsia="Times New Roman" w:cs="Arial"/>
                <w:color w:val="000000"/>
                <w:szCs w:val="22"/>
              </w:rPr>
            </w:pPr>
            <w:r w:rsidRPr="005D1AD8">
              <w:rPr>
                <w:rFonts w:eastAsia="Times New Roman" w:cs="Arial"/>
                <w:color w:val="000000"/>
                <w:szCs w:val="22"/>
              </w:rPr>
              <w:t>Computer Equipment</w:t>
            </w:r>
          </w:p>
        </w:tc>
        <w:tc>
          <w:tcPr>
            <w:tcW w:w="1133" w:type="pct"/>
            <w:tcBorders>
              <w:top w:val="single" w:sz="4" w:space="0" w:color="F4B084"/>
              <w:left w:val="nil"/>
              <w:bottom w:val="single" w:sz="4" w:space="0" w:color="F4B084"/>
              <w:right w:val="nil"/>
            </w:tcBorders>
            <w:shd w:val="clear" w:color="FCE4D6" w:fill="FCE4D6"/>
            <w:noWrap/>
            <w:vAlign w:val="bottom"/>
            <w:hideMark/>
          </w:tcPr>
          <w:p w14:paraId="219D1FB5" w14:textId="77777777" w:rsidR="00374478" w:rsidRPr="005D1AD8" w:rsidRDefault="00374478" w:rsidP="00374478">
            <w:pPr>
              <w:widowControl/>
              <w:autoSpaceDE/>
              <w:autoSpaceDN/>
              <w:adjustRightInd/>
              <w:jc w:val="center"/>
              <w:rPr>
                <w:rFonts w:eastAsia="Times New Roman" w:cs="Arial"/>
                <w:color w:val="000000"/>
                <w:szCs w:val="22"/>
              </w:rPr>
            </w:pPr>
            <w:r w:rsidRPr="005D1AD8">
              <w:rPr>
                <w:rFonts w:eastAsia="Times New Roman" w:cs="Arial"/>
                <w:color w:val="000000"/>
                <w:szCs w:val="22"/>
              </w:rPr>
              <w:t>12</w:t>
            </w:r>
          </w:p>
        </w:tc>
        <w:tc>
          <w:tcPr>
            <w:tcW w:w="1369" w:type="pct"/>
            <w:tcBorders>
              <w:top w:val="single" w:sz="4" w:space="0" w:color="F4B084"/>
              <w:left w:val="nil"/>
              <w:bottom w:val="single" w:sz="4" w:space="0" w:color="F4B084"/>
              <w:right w:val="single" w:sz="4" w:space="0" w:color="F4B084"/>
            </w:tcBorders>
            <w:shd w:val="clear" w:color="FCE4D6" w:fill="FCE4D6"/>
            <w:noWrap/>
            <w:vAlign w:val="bottom"/>
            <w:hideMark/>
          </w:tcPr>
          <w:p w14:paraId="23D61748" w14:textId="583D1073" w:rsidR="00374478" w:rsidRPr="005D1AD8"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148,380,428 </w:t>
            </w:r>
          </w:p>
        </w:tc>
      </w:tr>
      <w:tr w:rsidR="00374478" w:rsidRPr="005D1AD8" w14:paraId="4F938651" w14:textId="77777777" w:rsidTr="003E58F8">
        <w:trPr>
          <w:trHeight w:val="285"/>
        </w:trPr>
        <w:tc>
          <w:tcPr>
            <w:tcW w:w="2499" w:type="pct"/>
            <w:tcBorders>
              <w:top w:val="single" w:sz="4" w:space="0" w:color="F4B084"/>
              <w:left w:val="single" w:sz="4" w:space="0" w:color="F4B084"/>
              <w:bottom w:val="single" w:sz="4" w:space="0" w:color="F4B084"/>
              <w:right w:val="nil"/>
            </w:tcBorders>
            <w:shd w:val="clear" w:color="auto" w:fill="auto"/>
            <w:noWrap/>
            <w:vAlign w:val="bottom"/>
            <w:hideMark/>
          </w:tcPr>
          <w:p w14:paraId="4C345AAB" w14:textId="77777777" w:rsidR="00374478" w:rsidRPr="005D1AD8" w:rsidRDefault="00374478" w:rsidP="00374478">
            <w:pPr>
              <w:widowControl/>
              <w:autoSpaceDE/>
              <w:autoSpaceDN/>
              <w:adjustRightInd/>
              <w:rPr>
                <w:rFonts w:eastAsia="Times New Roman" w:cs="Arial"/>
                <w:color w:val="000000"/>
                <w:szCs w:val="22"/>
              </w:rPr>
            </w:pPr>
            <w:r w:rsidRPr="005D1AD8">
              <w:rPr>
                <w:rFonts w:eastAsia="Times New Roman" w:cs="Arial"/>
                <w:color w:val="000000"/>
                <w:szCs w:val="22"/>
              </w:rPr>
              <w:t xml:space="preserve">NASPO </w:t>
            </w:r>
            <w:proofErr w:type="spellStart"/>
            <w:r w:rsidRPr="005D1AD8">
              <w:rPr>
                <w:rFonts w:eastAsia="Times New Roman" w:cs="Arial"/>
                <w:color w:val="000000"/>
                <w:szCs w:val="22"/>
              </w:rPr>
              <w:t>ValuePoint</w:t>
            </w:r>
            <w:proofErr w:type="spellEnd"/>
            <w:r w:rsidRPr="005D1AD8">
              <w:rPr>
                <w:rFonts w:eastAsia="Times New Roman" w:cs="Arial"/>
                <w:color w:val="000000"/>
                <w:szCs w:val="22"/>
              </w:rPr>
              <w:t xml:space="preserve"> Wireless Data, Voice, and Accessories</w:t>
            </w:r>
          </w:p>
        </w:tc>
        <w:tc>
          <w:tcPr>
            <w:tcW w:w="1133" w:type="pct"/>
            <w:tcBorders>
              <w:top w:val="single" w:sz="4" w:space="0" w:color="F4B084"/>
              <w:left w:val="nil"/>
              <w:bottom w:val="single" w:sz="4" w:space="0" w:color="F4B084"/>
              <w:right w:val="nil"/>
            </w:tcBorders>
            <w:shd w:val="clear" w:color="auto" w:fill="auto"/>
            <w:noWrap/>
            <w:vAlign w:val="bottom"/>
            <w:hideMark/>
          </w:tcPr>
          <w:p w14:paraId="0F872598" w14:textId="77777777" w:rsidR="00374478" w:rsidRPr="005D1AD8" w:rsidRDefault="00374478" w:rsidP="00374478">
            <w:pPr>
              <w:widowControl/>
              <w:autoSpaceDE/>
              <w:autoSpaceDN/>
              <w:adjustRightInd/>
              <w:jc w:val="center"/>
              <w:rPr>
                <w:rFonts w:eastAsia="Times New Roman" w:cs="Arial"/>
                <w:color w:val="000000"/>
                <w:szCs w:val="22"/>
              </w:rPr>
            </w:pPr>
            <w:r w:rsidRPr="005D1AD8">
              <w:rPr>
                <w:rFonts w:eastAsia="Times New Roman" w:cs="Arial"/>
                <w:color w:val="000000"/>
                <w:szCs w:val="22"/>
              </w:rPr>
              <w:t>5</w:t>
            </w:r>
          </w:p>
        </w:tc>
        <w:tc>
          <w:tcPr>
            <w:tcW w:w="1369" w:type="pct"/>
            <w:tcBorders>
              <w:top w:val="single" w:sz="4" w:space="0" w:color="F4B084"/>
              <w:left w:val="nil"/>
              <w:bottom w:val="single" w:sz="4" w:space="0" w:color="F4B084"/>
              <w:right w:val="single" w:sz="4" w:space="0" w:color="F4B084"/>
            </w:tcBorders>
            <w:shd w:val="clear" w:color="auto" w:fill="auto"/>
            <w:noWrap/>
            <w:vAlign w:val="bottom"/>
            <w:hideMark/>
          </w:tcPr>
          <w:p w14:paraId="4EB9F908" w14:textId="39ACE05F" w:rsidR="00374478" w:rsidRPr="005D1AD8"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60,755,940 </w:t>
            </w:r>
          </w:p>
        </w:tc>
      </w:tr>
      <w:tr w:rsidR="00374478" w:rsidRPr="005D1AD8" w14:paraId="04A86625" w14:textId="77777777" w:rsidTr="003E58F8">
        <w:trPr>
          <w:trHeight w:val="285"/>
        </w:trPr>
        <w:tc>
          <w:tcPr>
            <w:tcW w:w="2499" w:type="pct"/>
            <w:tcBorders>
              <w:top w:val="single" w:sz="4" w:space="0" w:color="F4B084"/>
              <w:left w:val="single" w:sz="4" w:space="0" w:color="F4B084"/>
              <w:bottom w:val="single" w:sz="4" w:space="0" w:color="F4B084"/>
              <w:right w:val="nil"/>
            </w:tcBorders>
            <w:shd w:val="clear" w:color="FCE4D6" w:fill="FCE4D6"/>
            <w:noWrap/>
            <w:vAlign w:val="bottom"/>
            <w:hideMark/>
          </w:tcPr>
          <w:p w14:paraId="6994A62B" w14:textId="77777777" w:rsidR="00374478" w:rsidRPr="005D1AD8" w:rsidRDefault="00374478" w:rsidP="00374478">
            <w:pPr>
              <w:widowControl/>
              <w:autoSpaceDE/>
              <w:autoSpaceDN/>
              <w:adjustRightInd/>
              <w:rPr>
                <w:rFonts w:eastAsia="Times New Roman" w:cs="Arial"/>
                <w:color w:val="000000"/>
                <w:szCs w:val="22"/>
              </w:rPr>
            </w:pPr>
            <w:r w:rsidRPr="005D1AD8">
              <w:rPr>
                <w:rFonts w:eastAsia="Times New Roman" w:cs="Arial"/>
                <w:color w:val="000000"/>
                <w:szCs w:val="22"/>
              </w:rPr>
              <w:lastRenderedPageBreak/>
              <w:t xml:space="preserve">NASPO </w:t>
            </w:r>
            <w:proofErr w:type="spellStart"/>
            <w:r w:rsidRPr="005D1AD8">
              <w:rPr>
                <w:rFonts w:eastAsia="Times New Roman" w:cs="Arial"/>
                <w:color w:val="000000"/>
                <w:szCs w:val="22"/>
              </w:rPr>
              <w:t>ValuePoint</w:t>
            </w:r>
            <w:proofErr w:type="spellEnd"/>
            <w:r w:rsidRPr="005D1AD8">
              <w:rPr>
                <w:rFonts w:eastAsia="Times New Roman" w:cs="Arial"/>
                <w:color w:val="000000"/>
                <w:szCs w:val="22"/>
              </w:rPr>
              <w:t xml:space="preserve"> Software Resellers</w:t>
            </w:r>
          </w:p>
        </w:tc>
        <w:tc>
          <w:tcPr>
            <w:tcW w:w="1133" w:type="pct"/>
            <w:tcBorders>
              <w:top w:val="single" w:sz="4" w:space="0" w:color="F4B084"/>
              <w:left w:val="nil"/>
              <w:bottom w:val="single" w:sz="4" w:space="0" w:color="F4B084"/>
              <w:right w:val="nil"/>
            </w:tcBorders>
            <w:shd w:val="clear" w:color="FCE4D6" w:fill="FCE4D6"/>
            <w:noWrap/>
            <w:vAlign w:val="bottom"/>
            <w:hideMark/>
          </w:tcPr>
          <w:p w14:paraId="06B7AA2C" w14:textId="77777777" w:rsidR="00374478" w:rsidRPr="005D1AD8" w:rsidRDefault="00374478" w:rsidP="00374478">
            <w:pPr>
              <w:widowControl/>
              <w:autoSpaceDE/>
              <w:autoSpaceDN/>
              <w:adjustRightInd/>
              <w:jc w:val="center"/>
              <w:rPr>
                <w:rFonts w:eastAsia="Times New Roman" w:cs="Arial"/>
                <w:color w:val="000000"/>
                <w:szCs w:val="22"/>
              </w:rPr>
            </w:pPr>
            <w:r w:rsidRPr="005D1AD8">
              <w:rPr>
                <w:rFonts w:eastAsia="Times New Roman" w:cs="Arial"/>
                <w:color w:val="000000"/>
                <w:szCs w:val="22"/>
              </w:rPr>
              <w:t>4</w:t>
            </w:r>
          </w:p>
        </w:tc>
        <w:tc>
          <w:tcPr>
            <w:tcW w:w="1369" w:type="pct"/>
            <w:tcBorders>
              <w:top w:val="single" w:sz="4" w:space="0" w:color="F4B084"/>
              <w:left w:val="nil"/>
              <w:bottom w:val="single" w:sz="4" w:space="0" w:color="F4B084"/>
              <w:right w:val="single" w:sz="4" w:space="0" w:color="F4B084"/>
            </w:tcBorders>
            <w:shd w:val="clear" w:color="FCE4D6" w:fill="FCE4D6"/>
            <w:noWrap/>
            <w:vAlign w:val="bottom"/>
            <w:hideMark/>
          </w:tcPr>
          <w:p w14:paraId="4F0818B3" w14:textId="38287920" w:rsidR="00374478" w:rsidRPr="005D1AD8"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45,069,140 </w:t>
            </w:r>
          </w:p>
        </w:tc>
      </w:tr>
      <w:tr w:rsidR="00374478" w:rsidRPr="005D1AD8" w14:paraId="79D24736" w14:textId="77777777" w:rsidTr="003E58F8">
        <w:trPr>
          <w:trHeight w:val="285"/>
        </w:trPr>
        <w:tc>
          <w:tcPr>
            <w:tcW w:w="2499" w:type="pct"/>
            <w:tcBorders>
              <w:top w:val="single" w:sz="4" w:space="0" w:color="F4B084"/>
              <w:left w:val="single" w:sz="4" w:space="0" w:color="F4B084"/>
              <w:bottom w:val="single" w:sz="4" w:space="0" w:color="F4B084"/>
              <w:right w:val="nil"/>
            </w:tcBorders>
            <w:shd w:val="clear" w:color="auto" w:fill="auto"/>
            <w:noWrap/>
            <w:vAlign w:val="bottom"/>
            <w:hideMark/>
          </w:tcPr>
          <w:p w14:paraId="4B63481F" w14:textId="77777777" w:rsidR="00374478" w:rsidRPr="005D1AD8" w:rsidRDefault="00374478" w:rsidP="00374478">
            <w:pPr>
              <w:widowControl/>
              <w:autoSpaceDE/>
              <w:autoSpaceDN/>
              <w:adjustRightInd/>
              <w:rPr>
                <w:rFonts w:eastAsia="Times New Roman" w:cs="Arial"/>
                <w:color w:val="000000"/>
                <w:szCs w:val="22"/>
              </w:rPr>
            </w:pPr>
            <w:r w:rsidRPr="005D1AD8">
              <w:rPr>
                <w:rFonts w:eastAsia="Times New Roman" w:cs="Arial"/>
                <w:color w:val="000000"/>
                <w:szCs w:val="22"/>
              </w:rPr>
              <w:t>NASPO Data Communications</w:t>
            </w:r>
          </w:p>
        </w:tc>
        <w:tc>
          <w:tcPr>
            <w:tcW w:w="1133" w:type="pct"/>
            <w:tcBorders>
              <w:top w:val="single" w:sz="4" w:space="0" w:color="F4B084"/>
              <w:left w:val="nil"/>
              <w:bottom w:val="single" w:sz="4" w:space="0" w:color="F4B084"/>
              <w:right w:val="nil"/>
            </w:tcBorders>
            <w:shd w:val="clear" w:color="auto" w:fill="auto"/>
            <w:noWrap/>
            <w:vAlign w:val="bottom"/>
            <w:hideMark/>
          </w:tcPr>
          <w:p w14:paraId="3AD2AD52" w14:textId="77777777" w:rsidR="00374478" w:rsidRPr="005D1AD8" w:rsidRDefault="00374478" w:rsidP="00374478">
            <w:pPr>
              <w:widowControl/>
              <w:autoSpaceDE/>
              <w:autoSpaceDN/>
              <w:adjustRightInd/>
              <w:jc w:val="center"/>
              <w:rPr>
                <w:rFonts w:eastAsia="Times New Roman" w:cs="Arial"/>
                <w:color w:val="000000"/>
                <w:szCs w:val="22"/>
              </w:rPr>
            </w:pPr>
            <w:r w:rsidRPr="005D1AD8">
              <w:rPr>
                <w:rFonts w:eastAsia="Times New Roman" w:cs="Arial"/>
                <w:color w:val="000000"/>
                <w:szCs w:val="22"/>
              </w:rPr>
              <w:t>10</w:t>
            </w:r>
          </w:p>
        </w:tc>
        <w:tc>
          <w:tcPr>
            <w:tcW w:w="1369" w:type="pct"/>
            <w:tcBorders>
              <w:top w:val="single" w:sz="4" w:space="0" w:color="F4B084"/>
              <w:left w:val="nil"/>
              <w:bottom w:val="single" w:sz="4" w:space="0" w:color="F4B084"/>
              <w:right w:val="single" w:sz="4" w:space="0" w:color="F4B084"/>
            </w:tcBorders>
            <w:shd w:val="clear" w:color="auto" w:fill="auto"/>
            <w:noWrap/>
            <w:vAlign w:val="bottom"/>
            <w:hideMark/>
          </w:tcPr>
          <w:p w14:paraId="3F4FF762" w14:textId="03BB8796" w:rsidR="00374478" w:rsidRPr="005D1AD8"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27,583,061 </w:t>
            </w:r>
          </w:p>
        </w:tc>
      </w:tr>
      <w:tr w:rsidR="00374478" w:rsidRPr="005D1AD8" w14:paraId="70AD30A4" w14:textId="77777777" w:rsidTr="003E58F8">
        <w:trPr>
          <w:trHeight w:val="285"/>
        </w:trPr>
        <w:tc>
          <w:tcPr>
            <w:tcW w:w="2499" w:type="pct"/>
            <w:tcBorders>
              <w:top w:val="single" w:sz="4" w:space="0" w:color="F4B084"/>
              <w:left w:val="single" w:sz="4" w:space="0" w:color="F4B084"/>
              <w:bottom w:val="single" w:sz="4" w:space="0" w:color="F4B084"/>
              <w:right w:val="nil"/>
            </w:tcBorders>
            <w:shd w:val="clear" w:color="FCE4D6" w:fill="FCE4D6"/>
            <w:noWrap/>
            <w:vAlign w:val="bottom"/>
            <w:hideMark/>
          </w:tcPr>
          <w:p w14:paraId="1302CFF1" w14:textId="77777777" w:rsidR="00374478" w:rsidRPr="005D1AD8" w:rsidRDefault="00374478" w:rsidP="00374478">
            <w:pPr>
              <w:widowControl/>
              <w:autoSpaceDE/>
              <w:autoSpaceDN/>
              <w:adjustRightInd/>
              <w:rPr>
                <w:rFonts w:eastAsia="Times New Roman" w:cs="Arial"/>
                <w:color w:val="000000"/>
                <w:szCs w:val="22"/>
              </w:rPr>
            </w:pPr>
            <w:r w:rsidRPr="005D1AD8">
              <w:rPr>
                <w:rFonts w:eastAsia="Times New Roman" w:cs="Arial"/>
                <w:color w:val="000000"/>
                <w:szCs w:val="22"/>
              </w:rPr>
              <w:t>Cloud Solutions</w:t>
            </w:r>
          </w:p>
        </w:tc>
        <w:tc>
          <w:tcPr>
            <w:tcW w:w="1133" w:type="pct"/>
            <w:tcBorders>
              <w:top w:val="single" w:sz="4" w:space="0" w:color="F4B084"/>
              <w:left w:val="nil"/>
              <w:bottom w:val="single" w:sz="4" w:space="0" w:color="F4B084"/>
              <w:right w:val="nil"/>
            </w:tcBorders>
            <w:shd w:val="clear" w:color="FCE4D6" w:fill="FCE4D6"/>
            <w:noWrap/>
            <w:vAlign w:val="bottom"/>
            <w:hideMark/>
          </w:tcPr>
          <w:p w14:paraId="6DF004A0" w14:textId="77777777" w:rsidR="00374478" w:rsidRPr="005D1AD8" w:rsidRDefault="00374478" w:rsidP="00374478">
            <w:pPr>
              <w:widowControl/>
              <w:autoSpaceDE/>
              <w:autoSpaceDN/>
              <w:adjustRightInd/>
              <w:jc w:val="center"/>
              <w:rPr>
                <w:rFonts w:eastAsia="Times New Roman" w:cs="Arial"/>
                <w:color w:val="000000"/>
                <w:szCs w:val="22"/>
              </w:rPr>
            </w:pPr>
            <w:r w:rsidRPr="005D1AD8">
              <w:rPr>
                <w:rFonts w:eastAsia="Times New Roman" w:cs="Arial"/>
                <w:color w:val="000000"/>
                <w:szCs w:val="22"/>
              </w:rPr>
              <w:t>11</w:t>
            </w:r>
          </w:p>
        </w:tc>
        <w:tc>
          <w:tcPr>
            <w:tcW w:w="1369" w:type="pct"/>
            <w:tcBorders>
              <w:top w:val="single" w:sz="4" w:space="0" w:color="F4B084"/>
              <w:left w:val="nil"/>
              <w:bottom w:val="single" w:sz="4" w:space="0" w:color="F4B084"/>
              <w:right w:val="single" w:sz="4" w:space="0" w:color="F4B084"/>
            </w:tcBorders>
            <w:shd w:val="clear" w:color="FCE4D6" w:fill="FCE4D6"/>
            <w:noWrap/>
            <w:vAlign w:val="bottom"/>
            <w:hideMark/>
          </w:tcPr>
          <w:p w14:paraId="2BEE512F" w14:textId="4C4D397E" w:rsidR="00374478" w:rsidRPr="005D1AD8"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23,168,922 </w:t>
            </w:r>
          </w:p>
        </w:tc>
      </w:tr>
      <w:tr w:rsidR="00374478" w:rsidRPr="005D1AD8" w14:paraId="59A0A0AF" w14:textId="77777777" w:rsidTr="003E58F8">
        <w:trPr>
          <w:trHeight w:val="285"/>
        </w:trPr>
        <w:tc>
          <w:tcPr>
            <w:tcW w:w="2499" w:type="pct"/>
            <w:tcBorders>
              <w:top w:val="single" w:sz="4" w:space="0" w:color="F4B084"/>
              <w:left w:val="single" w:sz="4" w:space="0" w:color="F4B084"/>
              <w:bottom w:val="single" w:sz="4" w:space="0" w:color="F4B084"/>
              <w:right w:val="nil"/>
            </w:tcBorders>
            <w:shd w:val="clear" w:color="auto" w:fill="auto"/>
            <w:vAlign w:val="bottom"/>
            <w:hideMark/>
          </w:tcPr>
          <w:p w14:paraId="3F30091A" w14:textId="77777777" w:rsidR="00374478" w:rsidRPr="005D1AD8" w:rsidRDefault="00374478" w:rsidP="00374478">
            <w:pPr>
              <w:widowControl/>
              <w:autoSpaceDE/>
              <w:autoSpaceDN/>
              <w:adjustRightInd/>
              <w:rPr>
                <w:rFonts w:eastAsia="Times New Roman" w:cs="Arial"/>
                <w:color w:val="000000"/>
                <w:szCs w:val="22"/>
              </w:rPr>
            </w:pPr>
            <w:r w:rsidRPr="005D1AD8">
              <w:rPr>
                <w:rFonts w:eastAsia="Times New Roman" w:cs="Arial"/>
                <w:color w:val="000000"/>
                <w:szCs w:val="22"/>
              </w:rPr>
              <w:t>Copiers and Managed Print Services</w:t>
            </w:r>
          </w:p>
        </w:tc>
        <w:tc>
          <w:tcPr>
            <w:tcW w:w="1133" w:type="pct"/>
            <w:tcBorders>
              <w:top w:val="single" w:sz="4" w:space="0" w:color="F4B084"/>
              <w:left w:val="nil"/>
              <w:bottom w:val="single" w:sz="4" w:space="0" w:color="F4B084"/>
              <w:right w:val="nil"/>
            </w:tcBorders>
            <w:shd w:val="clear" w:color="auto" w:fill="auto"/>
            <w:noWrap/>
            <w:vAlign w:val="bottom"/>
            <w:hideMark/>
          </w:tcPr>
          <w:p w14:paraId="30D9F84C" w14:textId="77777777" w:rsidR="00374478" w:rsidRPr="005D1AD8" w:rsidRDefault="00374478" w:rsidP="00374478">
            <w:pPr>
              <w:widowControl/>
              <w:autoSpaceDE/>
              <w:autoSpaceDN/>
              <w:adjustRightInd/>
              <w:jc w:val="center"/>
              <w:rPr>
                <w:rFonts w:eastAsia="Times New Roman" w:cs="Arial"/>
                <w:color w:val="000000"/>
                <w:szCs w:val="22"/>
              </w:rPr>
            </w:pPr>
            <w:r w:rsidRPr="005D1AD8">
              <w:rPr>
                <w:rFonts w:eastAsia="Times New Roman" w:cs="Arial"/>
                <w:color w:val="000000"/>
                <w:szCs w:val="22"/>
              </w:rPr>
              <w:t>7</w:t>
            </w:r>
          </w:p>
        </w:tc>
        <w:tc>
          <w:tcPr>
            <w:tcW w:w="1369" w:type="pct"/>
            <w:tcBorders>
              <w:top w:val="single" w:sz="4" w:space="0" w:color="F4B084"/>
              <w:left w:val="nil"/>
              <w:bottom w:val="single" w:sz="4" w:space="0" w:color="F4B084"/>
              <w:right w:val="single" w:sz="4" w:space="0" w:color="F4B084"/>
            </w:tcBorders>
            <w:shd w:val="clear" w:color="auto" w:fill="auto"/>
            <w:noWrap/>
            <w:vAlign w:val="bottom"/>
            <w:hideMark/>
          </w:tcPr>
          <w:p w14:paraId="35174AE2" w14:textId="49A372DC" w:rsidR="00374478" w:rsidRPr="005D1AD8"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10,868,891 </w:t>
            </w:r>
          </w:p>
        </w:tc>
      </w:tr>
      <w:tr w:rsidR="00374478" w:rsidRPr="005D1AD8" w14:paraId="0D8DC1AB" w14:textId="77777777" w:rsidTr="003E58F8">
        <w:trPr>
          <w:trHeight w:val="285"/>
        </w:trPr>
        <w:tc>
          <w:tcPr>
            <w:tcW w:w="2499" w:type="pct"/>
            <w:tcBorders>
              <w:top w:val="single" w:sz="4" w:space="0" w:color="F4B084"/>
              <w:left w:val="single" w:sz="4" w:space="0" w:color="F4B084"/>
              <w:bottom w:val="single" w:sz="4" w:space="0" w:color="F4B084"/>
              <w:right w:val="nil"/>
            </w:tcBorders>
            <w:shd w:val="clear" w:color="FCE4D6" w:fill="FCE4D6"/>
            <w:noWrap/>
            <w:vAlign w:val="bottom"/>
            <w:hideMark/>
          </w:tcPr>
          <w:p w14:paraId="02413896" w14:textId="77777777" w:rsidR="00374478" w:rsidRPr="005D1AD8" w:rsidRDefault="00374478" w:rsidP="00374478">
            <w:pPr>
              <w:widowControl/>
              <w:autoSpaceDE/>
              <w:autoSpaceDN/>
              <w:adjustRightInd/>
              <w:rPr>
                <w:rFonts w:eastAsia="Times New Roman" w:cs="Arial"/>
                <w:color w:val="000000"/>
                <w:szCs w:val="22"/>
              </w:rPr>
            </w:pPr>
            <w:r w:rsidRPr="005D1AD8">
              <w:rPr>
                <w:rFonts w:eastAsia="Times New Roman" w:cs="Arial"/>
                <w:color w:val="000000"/>
                <w:szCs w:val="22"/>
              </w:rPr>
              <w:t>Illumination, Traffic Signal &amp; Intelligent Transportation Systems Equipment</w:t>
            </w:r>
          </w:p>
        </w:tc>
        <w:tc>
          <w:tcPr>
            <w:tcW w:w="1133" w:type="pct"/>
            <w:tcBorders>
              <w:top w:val="single" w:sz="4" w:space="0" w:color="F4B084"/>
              <w:left w:val="nil"/>
              <w:bottom w:val="single" w:sz="4" w:space="0" w:color="F4B084"/>
              <w:right w:val="nil"/>
            </w:tcBorders>
            <w:shd w:val="clear" w:color="FCE4D6" w:fill="FCE4D6"/>
            <w:noWrap/>
            <w:vAlign w:val="bottom"/>
            <w:hideMark/>
          </w:tcPr>
          <w:p w14:paraId="1B249242" w14:textId="77777777" w:rsidR="00374478" w:rsidRPr="005D1AD8" w:rsidRDefault="00374478" w:rsidP="00374478">
            <w:pPr>
              <w:widowControl/>
              <w:autoSpaceDE/>
              <w:autoSpaceDN/>
              <w:adjustRightInd/>
              <w:jc w:val="center"/>
              <w:rPr>
                <w:rFonts w:eastAsia="Times New Roman" w:cs="Arial"/>
                <w:color w:val="000000"/>
                <w:szCs w:val="22"/>
              </w:rPr>
            </w:pPr>
            <w:r w:rsidRPr="005D1AD8">
              <w:rPr>
                <w:rFonts w:eastAsia="Times New Roman" w:cs="Arial"/>
                <w:color w:val="000000"/>
                <w:szCs w:val="22"/>
              </w:rPr>
              <w:t>21</w:t>
            </w:r>
          </w:p>
        </w:tc>
        <w:tc>
          <w:tcPr>
            <w:tcW w:w="1369" w:type="pct"/>
            <w:tcBorders>
              <w:top w:val="single" w:sz="4" w:space="0" w:color="F4B084"/>
              <w:left w:val="nil"/>
              <w:bottom w:val="single" w:sz="4" w:space="0" w:color="F4B084"/>
              <w:right w:val="single" w:sz="4" w:space="0" w:color="F4B084"/>
            </w:tcBorders>
            <w:shd w:val="clear" w:color="FCE4D6" w:fill="FCE4D6"/>
            <w:noWrap/>
            <w:vAlign w:val="bottom"/>
            <w:hideMark/>
          </w:tcPr>
          <w:p w14:paraId="650BB78E" w14:textId="1E7A44D4" w:rsidR="00374478" w:rsidRPr="005D1AD8"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8,852,290 </w:t>
            </w:r>
          </w:p>
        </w:tc>
      </w:tr>
      <w:tr w:rsidR="00374478" w:rsidRPr="005D1AD8" w14:paraId="0542FD28" w14:textId="77777777" w:rsidTr="003E58F8">
        <w:trPr>
          <w:trHeight w:val="285"/>
        </w:trPr>
        <w:tc>
          <w:tcPr>
            <w:tcW w:w="2499" w:type="pct"/>
            <w:tcBorders>
              <w:top w:val="single" w:sz="4" w:space="0" w:color="F4B084"/>
              <w:left w:val="single" w:sz="4" w:space="0" w:color="F4B084"/>
              <w:bottom w:val="single" w:sz="4" w:space="0" w:color="F4B084"/>
              <w:right w:val="nil"/>
            </w:tcBorders>
            <w:shd w:val="clear" w:color="auto" w:fill="auto"/>
            <w:noWrap/>
            <w:vAlign w:val="bottom"/>
            <w:hideMark/>
          </w:tcPr>
          <w:p w14:paraId="124B72FF" w14:textId="77777777" w:rsidR="00374478" w:rsidRPr="005D1AD8" w:rsidRDefault="00374478" w:rsidP="00374478">
            <w:pPr>
              <w:widowControl/>
              <w:autoSpaceDE/>
              <w:autoSpaceDN/>
              <w:adjustRightInd/>
              <w:rPr>
                <w:rFonts w:eastAsia="Times New Roman" w:cs="Arial"/>
                <w:color w:val="000000"/>
                <w:szCs w:val="22"/>
              </w:rPr>
            </w:pPr>
            <w:r w:rsidRPr="005D1AD8">
              <w:rPr>
                <w:rFonts w:eastAsia="Times New Roman" w:cs="Arial"/>
                <w:color w:val="000000"/>
                <w:szCs w:val="22"/>
              </w:rPr>
              <w:t>NVP Public Safety Communications Equipment</w:t>
            </w:r>
          </w:p>
        </w:tc>
        <w:tc>
          <w:tcPr>
            <w:tcW w:w="1133" w:type="pct"/>
            <w:tcBorders>
              <w:top w:val="single" w:sz="4" w:space="0" w:color="F4B084"/>
              <w:left w:val="nil"/>
              <w:bottom w:val="single" w:sz="4" w:space="0" w:color="F4B084"/>
              <w:right w:val="nil"/>
            </w:tcBorders>
            <w:shd w:val="clear" w:color="auto" w:fill="auto"/>
            <w:noWrap/>
            <w:vAlign w:val="bottom"/>
            <w:hideMark/>
          </w:tcPr>
          <w:p w14:paraId="73876B1D" w14:textId="77777777" w:rsidR="00374478" w:rsidRPr="005D1AD8" w:rsidRDefault="00374478" w:rsidP="00374478">
            <w:pPr>
              <w:widowControl/>
              <w:autoSpaceDE/>
              <w:autoSpaceDN/>
              <w:adjustRightInd/>
              <w:jc w:val="center"/>
              <w:rPr>
                <w:rFonts w:eastAsia="Times New Roman" w:cs="Arial"/>
                <w:color w:val="000000"/>
                <w:szCs w:val="22"/>
              </w:rPr>
            </w:pPr>
            <w:r w:rsidRPr="005D1AD8">
              <w:rPr>
                <w:rFonts w:eastAsia="Times New Roman" w:cs="Arial"/>
                <w:color w:val="000000"/>
                <w:szCs w:val="22"/>
              </w:rPr>
              <w:t>10</w:t>
            </w:r>
          </w:p>
        </w:tc>
        <w:tc>
          <w:tcPr>
            <w:tcW w:w="1369" w:type="pct"/>
            <w:tcBorders>
              <w:top w:val="single" w:sz="4" w:space="0" w:color="F4B084"/>
              <w:left w:val="nil"/>
              <w:bottom w:val="single" w:sz="4" w:space="0" w:color="F4B084"/>
              <w:right w:val="single" w:sz="4" w:space="0" w:color="F4B084"/>
            </w:tcBorders>
            <w:shd w:val="clear" w:color="auto" w:fill="auto"/>
            <w:noWrap/>
            <w:vAlign w:val="bottom"/>
            <w:hideMark/>
          </w:tcPr>
          <w:p w14:paraId="2D252681" w14:textId="53AF49DD" w:rsidR="00374478" w:rsidRPr="005D1AD8"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8,111,244 </w:t>
            </w:r>
          </w:p>
        </w:tc>
      </w:tr>
      <w:tr w:rsidR="00374478" w:rsidRPr="005D1AD8" w14:paraId="57F8F5BC" w14:textId="77777777" w:rsidTr="003E58F8">
        <w:trPr>
          <w:trHeight w:val="285"/>
        </w:trPr>
        <w:tc>
          <w:tcPr>
            <w:tcW w:w="2499" w:type="pct"/>
            <w:tcBorders>
              <w:top w:val="single" w:sz="4" w:space="0" w:color="F4B084"/>
              <w:left w:val="single" w:sz="4" w:space="0" w:color="F4B084"/>
              <w:bottom w:val="single" w:sz="4" w:space="0" w:color="F4B084"/>
              <w:right w:val="nil"/>
            </w:tcBorders>
            <w:shd w:val="clear" w:color="FCE4D6" w:fill="FCE4D6"/>
            <w:noWrap/>
            <w:vAlign w:val="bottom"/>
            <w:hideMark/>
          </w:tcPr>
          <w:p w14:paraId="75F69649" w14:textId="77777777" w:rsidR="00374478" w:rsidRPr="005D1AD8" w:rsidRDefault="00374478" w:rsidP="00374478">
            <w:pPr>
              <w:widowControl/>
              <w:autoSpaceDE/>
              <w:autoSpaceDN/>
              <w:adjustRightInd/>
              <w:rPr>
                <w:rFonts w:eastAsia="Times New Roman" w:cs="Arial"/>
                <w:color w:val="000000"/>
                <w:szCs w:val="22"/>
              </w:rPr>
            </w:pPr>
            <w:r w:rsidRPr="005D1AD8">
              <w:rPr>
                <w:rFonts w:eastAsia="Times New Roman" w:cs="Arial"/>
                <w:color w:val="000000"/>
                <w:szCs w:val="22"/>
              </w:rPr>
              <w:t>Security Technology Services</w:t>
            </w:r>
          </w:p>
        </w:tc>
        <w:tc>
          <w:tcPr>
            <w:tcW w:w="1133" w:type="pct"/>
            <w:tcBorders>
              <w:top w:val="single" w:sz="4" w:space="0" w:color="F4B084"/>
              <w:left w:val="nil"/>
              <w:bottom w:val="single" w:sz="4" w:space="0" w:color="F4B084"/>
              <w:right w:val="nil"/>
            </w:tcBorders>
            <w:shd w:val="clear" w:color="FCE4D6" w:fill="FCE4D6"/>
            <w:noWrap/>
            <w:vAlign w:val="bottom"/>
            <w:hideMark/>
          </w:tcPr>
          <w:p w14:paraId="0FF0558D" w14:textId="77777777" w:rsidR="00374478" w:rsidRPr="005D1AD8" w:rsidRDefault="00374478" w:rsidP="00374478">
            <w:pPr>
              <w:widowControl/>
              <w:autoSpaceDE/>
              <w:autoSpaceDN/>
              <w:adjustRightInd/>
              <w:jc w:val="center"/>
              <w:rPr>
                <w:rFonts w:eastAsia="Times New Roman" w:cs="Arial"/>
                <w:color w:val="000000"/>
                <w:szCs w:val="22"/>
              </w:rPr>
            </w:pPr>
            <w:r w:rsidRPr="005D1AD8">
              <w:rPr>
                <w:rFonts w:eastAsia="Times New Roman" w:cs="Arial"/>
                <w:color w:val="000000"/>
                <w:szCs w:val="22"/>
              </w:rPr>
              <w:t>7</w:t>
            </w:r>
          </w:p>
        </w:tc>
        <w:tc>
          <w:tcPr>
            <w:tcW w:w="1369" w:type="pct"/>
            <w:tcBorders>
              <w:top w:val="single" w:sz="4" w:space="0" w:color="F4B084"/>
              <w:left w:val="nil"/>
              <w:bottom w:val="single" w:sz="4" w:space="0" w:color="F4B084"/>
              <w:right w:val="single" w:sz="4" w:space="0" w:color="F4B084"/>
            </w:tcBorders>
            <w:shd w:val="clear" w:color="FCE4D6" w:fill="FCE4D6"/>
            <w:noWrap/>
            <w:vAlign w:val="bottom"/>
            <w:hideMark/>
          </w:tcPr>
          <w:p w14:paraId="120EAC69" w14:textId="06B17CC1" w:rsidR="00374478" w:rsidRPr="005D1AD8"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5,547,273 </w:t>
            </w:r>
          </w:p>
        </w:tc>
      </w:tr>
      <w:tr w:rsidR="00374478" w:rsidRPr="005D1AD8" w14:paraId="438B3752" w14:textId="77777777" w:rsidTr="003E58F8">
        <w:trPr>
          <w:trHeight w:val="285"/>
        </w:trPr>
        <w:tc>
          <w:tcPr>
            <w:tcW w:w="2499" w:type="pct"/>
            <w:tcBorders>
              <w:top w:val="single" w:sz="4" w:space="0" w:color="F4B084"/>
              <w:left w:val="single" w:sz="4" w:space="0" w:color="F4B084"/>
              <w:bottom w:val="single" w:sz="4" w:space="0" w:color="F4B084"/>
              <w:right w:val="nil"/>
            </w:tcBorders>
            <w:shd w:val="clear" w:color="auto" w:fill="auto"/>
            <w:noWrap/>
            <w:vAlign w:val="bottom"/>
            <w:hideMark/>
          </w:tcPr>
          <w:p w14:paraId="04F812FA" w14:textId="77777777" w:rsidR="00374478" w:rsidRPr="005D1AD8" w:rsidRDefault="00374478" w:rsidP="00374478">
            <w:pPr>
              <w:widowControl/>
              <w:autoSpaceDE/>
              <w:autoSpaceDN/>
              <w:adjustRightInd/>
              <w:rPr>
                <w:rFonts w:eastAsia="Times New Roman" w:cs="Arial"/>
                <w:color w:val="000000"/>
                <w:szCs w:val="22"/>
              </w:rPr>
            </w:pPr>
            <w:r w:rsidRPr="005D1AD8">
              <w:rPr>
                <w:rFonts w:eastAsia="Times New Roman" w:cs="Arial"/>
                <w:color w:val="000000"/>
                <w:szCs w:val="22"/>
              </w:rPr>
              <w:t>Information Technology Professional Services</w:t>
            </w:r>
          </w:p>
        </w:tc>
        <w:tc>
          <w:tcPr>
            <w:tcW w:w="1133" w:type="pct"/>
            <w:tcBorders>
              <w:top w:val="single" w:sz="4" w:space="0" w:color="F4B084"/>
              <w:left w:val="nil"/>
              <w:bottom w:val="single" w:sz="4" w:space="0" w:color="F4B084"/>
              <w:right w:val="nil"/>
            </w:tcBorders>
            <w:shd w:val="clear" w:color="auto" w:fill="auto"/>
            <w:noWrap/>
            <w:vAlign w:val="bottom"/>
            <w:hideMark/>
          </w:tcPr>
          <w:p w14:paraId="3BFCC6F4" w14:textId="77777777" w:rsidR="00374478" w:rsidRPr="005D1AD8" w:rsidRDefault="00374478" w:rsidP="00374478">
            <w:pPr>
              <w:widowControl/>
              <w:autoSpaceDE/>
              <w:autoSpaceDN/>
              <w:adjustRightInd/>
              <w:jc w:val="center"/>
              <w:rPr>
                <w:rFonts w:eastAsia="Times New Roman" w:cs="Arial"/>
                <w:color w:val="000000"/>
                <w:szCs w:val="22"/>
              </w:rPr>
            </w:pPr>
            <w:r w:rsidRPr="005D1AD8">
              <w:rPr>
                <w:rFonts w:eastAsia="Times New Roman" w:cs="Arial"/>
                <w:color w:val="000000"/>
                <w:szCs w:val="22"/>
              </w:rPr>
              <w:t>20</w:t>
            </w:r>
          </w:p>
        </w:tc>
        <w:tc>
          <w:tcPr>
            <w:tcW w:w="1369" w:type="pct"/>
            <w:tcBorders>
              <w:top w:val="single" w:sz="4" w:space="0" w:color="F4B084"/>
              <w:left w:val="nil"/>
              <w:bottom w:val="single" w:sz="4" w:space="0" w:color="F4B084"/>
              <w:right w:val="single" w:sz="4" w:space="0" w:color="F4B084"/>
            </w:tcBorders>
            <w:shd w:val="clear" w:color="auto" w:fill="auto"/>
            <w:noWrap/>
            <w:vAlign w:val="bottom"/>
            <w:hideMark/>
          </w:tcPr>
          <w:p w14:paraId="6B695914" w14:textId="620BA6F1" w:rsidR="00374478" w:rsidRPr="005D1AD8" w:rsidRDefault="00374478" w:rsidP="003E58F8">
            <w:pPr>
              <w:widowControl/>
              <w:autoSpaceDE/>
              <w:autoSpaceDN/>
              <w:adjustRightInd/>
              <w:jc w:val="right"/>
              <w:rPr>
                <w:rFonts w:eastAsia="Times New Roman" w:cs="Arial"/>
                <w:color w:val="000000"/>
                <w:szCs w:val="22"/>
              </w:rPr>
            </w:pPr>
            <w:r>
              <w:rPr>
                <w:rFonts w:cs="Arial"/>
                <w:color w:val="000000"/>
                <w:szCs w:val="22"/>
              </w:rPr>
              <w:t xml:space="preserve"> $               5,245,464 </w:t>
            </w:r>
          </w:p>
        </w:tc>
      </w:tr>
    </w:tbl>
    <w:p w14:paraId="02AFBE28" w14:textId="77777777" w:rsidR="006122AB" w:rsidRPr="000F697B" w:rsidRDefault="006122AB" w:rsidP="00B70C61">
      <w:pPr>
        <w:jc w:val="both"/>
        <w:rPr>
          <w:rFonts w:cs="Arial"/>
          <w:szCs w:val="22"/>
        </w:rPr>
      </w:pPr>
    </w:p>
    <w:p w14:paraId="2B1EA4D4" w14:textId="77777777" w:rsidR="006122AB" w:rsidRPr="000F697B" w:rsidRDefault="006122AB" w:rsidP="006122AB">
      <w:pPr>
        <w:jc w:val="both"/>
        <w:rPr>
          <w:rFonts w:cs="Arial"/>
          <w:szCs w:val="22"/>
        </w:rPr>
      </w:pPr>
      <w:r w:rsidRPr="000F697B">
        <w:rPr>
          <w:rFonts w:cs="Arial"/>
          <w:szCs w:val="22"/>
        </w:rPr>
        <w:t xml:space="preserve">Notes: </w:t>
      </w:r>
    </w:p>
    <w:p w14:paraId="51A61782" w14:textId="65032AEB" w:rsidR="006122AB" w:rsidRPr="000F697B" w:rsidRDefault="006122AB" w:rsidP="008343E3">
      <w:pPr>
        <w:pStyle w:val="ListParagraph"/>
        <w:widowControl/>
        <w:numPr>
          <w:ilvl w:val="0"/>
          <w:numId w:val="45"/>
        </w:numPr>
        <w:autoSpaceDE/>
        <w:autoSpaceDN/>
        <w:adjustRightInd/>
        <w:spacing w:after="0"/>
        <w:contextualSpacing/>
        <w:rPr>
          <w:rFonts w:eastAsia="Times New Roman" w:cs="Arial"/>
          <w:bCs/>
          <w:szCs w:val="22"/>
        </w:rPr>
      </w:pPr>
      <w:r w:rsidRPr="000F697B">
        <w:rPr>
          <w:rFonts w:eastAsia="Times New Roman" w:cs="Arial"/>
          <w:bCs/>
          <w:szCs w:val="22"/>
        </w:rPr>
        <w:t xml:space="preserve">The above tables were compiled using </w:t>
      </w:r>
      <w:r w:rsidR="00BC2230">
        <w:rPr>
          <w:rFonts w:eastAsia="Times New Roman" w:cs="Arial"/>
          <w:bCs/>
          <w:szCs w:val="22"/>
        </w:rPr>
        <w:t xml:space="preserve">the </w:t>
      </w:r>
      <w:r w:rsidR="008343E3" w:rsidRPr="008343E3">
        <w:rPr>
          <w:rFonts w:eastAsia="Times New Roman" w:cs="Arial"/>
          <w:bCs/>
          <w:szCs w:val="22"/>
        </w:rPr>
        <w:t>Fiscal Year 202</w:t>
      </w:r>
      <w:r w:rsidR="005D1AD8">
        <w:rPr>
          <w:rFonts w:eastAsia="Times New Roman" w:cs="Arial"/>
          <w:bCs/>
          <w:szCs w:val="22"/>
        </w:rPr>
        <w:t>1</w:t>
      </w:r>
      <w:r w:rsidR="008343E3">
        <w:rPr>
          <w:rFonts w:eastAsia="Times New Roman" w:cs="Arial"/>
          <w:bCs/>
          <w:szCs w:val="22"/>
        </w:rPr>
        <w:t xml:space="preserve"> </w:t>
      </w:r>
      <w:r w:rsidRPr="000F697B">
        <w:rPr>
          <w:rFonts w:eastAsia="Times New Roman" w:cs="Arial"/>
          <w:bCs/>
          <w:szCs w:val="22"/>
        </w:rPr>
        <w:t>vendor reported sales for</w:t>
      </w:r>
      <w:r w:rsidR="008343E3">
        <w:rPr>
          <w:rFonts w:eastAsia="Times New Roman" w:cs="Arial"/>
          <w:bCs/>
          <w:szCs w:val="22"/>
        </w:rPr>
        <w:t xml:space="preserve"> DES</w:t>
      </w:r>
      <w:r w:rsidRPr="000F697B">
        <w:rPr>
          <w:rFonts w:eastAsia="Times New Roman" w:cs="Arial"/>
          <w:bCs/>
          <w:szCs w:val="22"/>
        </w:rPr>
        <w:t xml:space="preserve"> IT Master Contracts. </w:t>
      </w:r>
    </w:p>
    <w:p w14:paraId="6BE0B36F" w14:textId="77777777" w:rsidR="006122AB" w:rsidRPr="000F697B" w:rsidRDefault="00FF2490" w:rsidP="006122AB">
      <w:pPr>
        <w:pStyle w:val="ListParagraph"/>
        <w:widowControl/>
        <w:numPr>
          <w:ilvl w:val="0"/>
          <w:numId w:val="45"/>
        </w:numPr>
        <w:autoSpaceDE/>
        <w:autoSpaceDN/>
        <w:adjustRightInd/>
        <w:spacing w:after="120"/>
        <w:contextualSpacing/>
        <w:jc w:val="both"/>
        <w:rPr>
          <w:rFonts w:cs="Arial"/>
          <w:szCs w:val="22"/>
        </w:rPr>
      </w:pPr>
      <w:hyperlink r:id="rId18" w:history="1">
        <w:r w:rsidR="006122AB" w:rsidRPr="000F697B">
          <w:rPr>
            <w:rStyle w:val="Hyperlink"/>
            <w:rFonts w:cs="Arial"/>
            <w:szCs w:val="22"/>
          </w:rPr>
          <w:t>NASPO Value Point</w:t>
        </w:r>
      </w:hyperlink>
      <w:r w:rsidR="006122AB" w:rsidRPr="000F697B">
        <w:rPr>
          <w:rFonts w:cs="Arial"/>
          <w:szCs w:val="22"/>
        </w:rPr>
        <w:t xml:space="preserve"> contracts are nationwide contracts that Washington State participate</w:t>
      </w:r>
      <w:r w:rsidR="008343E3">
        <w:rPr>
          <w:rFonts w:cs="Arial"/>
          <w:szCs w:val="22"/>
        </w:rPr>
        <w:t>s in</w:t>
      </w:r>
      <w:r w:rsidR="006122AB" w:rsidRPr="000F697B">
        <w:rPr>
          <w:rFonts w:cs="Arial"/>
          <w:szCs w:val="22"/>
        </w:rPr>
        <w:t xml:space="preserve"> through a </w:t>
      </w:r>
      <w:r w:rsidR="008343E3">
        <w:rPr>
          <w:rFonts w:cs="Arial"/>
          <w:szCs w:val="22"/>
        </w:rPr>
        <w:t>statutorily authorized cooperative</w:t>
      </w:r>
      <w:r w:rsidR="008343E3" w:rsidRPr="000F697B">
        <w:rPr>
          <w:rFonts w:cs="Arial"/>
          <w:szCs w:val="22"/>
        </w:rPr>
        <w:t xml:space="preserve"> </w:t>
      </w:r>
      <w:r w:rsidR="006122AB" w:rsidRPr="000F697B">
        <w:rPr>
          <w:rFonts w:cs="Arial"/>
          <w:szCs w:val="22"/>
        </w:rPr>
        <w:t xml:space="preserve">agreement. </w:t>
      </w:r>
    </w:p>
    <w:p w14:paraId="73DE7B2B" w14:textId="77777777" w:rsidR="00657788" w:rsidRDefault="00657788" w:rsidP="006122AB">
      <w:pPr>
        <w:rPr>
          <w:rFonts w:cs="Arial"/>
          <w:b/>
          <w:szCs w:val="20"/>
        </w:rPr>
      </w:pPr>
    </w:p>
    <w:p w14:paraId="7F4AF45F" w14:textId="6E5CA979" w:rsidR="006122AB" w:rsidRPr="000F697B" w:rsidRDefault="006122AB" w:rsidP="006122AB">
      <w:pPr>
        <w:rPr>
          <w:rFonts w:cs="Arial"/>
          <w:b/>
          <w:szCs w:val="20"/>
        </w:rPr>
      </w:pPr>
      <w:r w:rsidRPr="000F697B">
        <w:rPr>
          <w:rFonts w:cs="Arial"/>
          <w:b/>
          <w:szCs w:val="20"/>
        </w:rPr>
        <w:t>FY2</w:t>
      </w:r>
      <w:r w:rsidR="005D1AD8">
        <w:rPr>
          <w:rFonts w:cs="Arial"/>
          <w:b/>
          <w:szCs w:val="20"/>
        </w:rPr>
        <w:t>1</w:t>
      </w:r>
      <w:r w:rsidRPr="000F697B">
        <w:rPr>
          <w:rFonts w:cs="Arial"/>
          <w:b/>
          <w:szCs w:val="20"/>
        </w:rPr>
        <w:t xml:space="preserve"> Top 10 Customers by IT Master Contracts Spend</w:t>
      </w:r>
    </w:p>
    <w:p w14:paraId="58F8EE55" w14:textId="77777777" w:rsidR="00356746" w:rsidRDefault="00356746" w:rsidP="006122AB">
      <w:pPr>
        <w:rPr>
          <w:rFonts w:cs="Arial"/>
          <w:b/>
          <w:szCs w:val="20"/>
        </w:rPr>
      </w:pPr>
    </w:p>
    <w:p w14:paraId="54C72939" w14:textId="6BBD51D3" w:rsidR="006122AB" w:rsidRPr="000F697B" w:rsidRDefault="006122AB" w:rsidP="006122AB">
      <w:pPr>
        <w:rPr>
          <w:rFonts w:cs="Arial"/>
          <w:b/>
          <w:szCs w:val="20"/>
        </w:rPr>
      </w:pPr>
      <w:r w:rsidRPr="000F697B">
        <w:rPr>
          <w:rFonts w:cs="Arial"/>
          <w:b/>
          <w:szCs w:val="20"/>
        </w:rPr>
        <w:t xml:space="preserve">All Customer Summary </w:t>
      </w:r>
    </w:p>
    <w:p w14:paraId="7785438C" w14:textId="77777777" w:rsidR="006122AB" w:rsidRPr="000F697B" w:rsidRDefault="006122AB" w:rsidP="006122AB">
      <w:pPr>
        <w:rPr>
          <w:rFonts w:cs="Arial"/>
          <w:b/>
          <w:sz w:val="20"/>
          <w:szCs w:val="20"/>
        </w:rPr>
      </w:pPr>
    </w:p>
    <w:tbl>
      <w:tblPr>
        <w:tblW w:w="9355" w:type="dxa"/>
        <w:tblLook w:val="04A0" w:firstRow="1" w:lastRow="0" w:firstColumn="1" w:lastColumn="0" w:noHBand="0" w:noVBand="1"/>
      </w:tblPr>
      <w:tblGrid>
        <w:gridCol w:w="5395"/>
        <w:gridCol w:w="3960"/>
      </w:tblGrid>
      <w:tr w:rsidR="0085352E" w:rsidRPr="000F697B" w14:paraId="73CDBADA" w14:textId="77777777" w:rsidTr="003E58F8">
        <w:trPr>
          <w:trHeight w:val="268"/>
        </w:trPr>
        <w:tc>
          <w:tcPr>
            <w:tcW w:w="5395" w:type="dxa"/>
            <w:tcBorders>
              <w:top w:val="single" w:sz="4" w:space="0" w:color="D9D9D9" w:themeColor="background1" w:themeShade="D9"/>
              <w:left w:val="single" w:sz="4" w:space="0" w:color="D9D9D9" w:themeColor="background1" w:themeShade="D9"/>
              <w:bottom w:val="single" w:sz="4" w:space="0" w:color="C9C9C9"/>
              <w:right w:val="nil"/>
            </w:tcBorders>
            <w:shd w:val="clear" w:color="A5A5A5" w:fill="A5A5A5"/>
            <w:noWrap/>
            <w:vAlign w:val="bottom"/>
            <w:hideMark/>
          </w:tcPr>
          <w:p w14:paraId="4E7D5BE0" w14:textId="77777777" w:rsidR="0085352E" w:rsidRPr="000F697B" w:rsidRDefault="0085352E" w:rsidP="005D1AD8">
            <w:pPr>
              <w:widowControl/>
              <w:autoSpaceDE/>
              <w:autoSpaceDN/>
              <w:adjustRightInd/>
              <w:rPr>
                <w:rFonts w:eastAsia="Times New Roman" w:cs="Arial"/>
                <w:b/>
                <w:bCs/>
                <w:color w:val="FFFFFF"/>
                <w:szCs w:val="22"/>
              </w:rPr>
            </w:pPr>
            <w:r w:rsidRPr="000F697B">
              <w:rPr>
                <w:rFonts w:eastAsia="Times New Roman" w:cs="Arial"/>
                <w:b/>
                <w:bCs/>
                <w:color w:val="FFFFFF"/>
                <w:szCs w:val="22"/>
              </w:rPr>
              <w:t>Customer Name</w:t>
            </w:r>
          </w:p>
        </w:tc>
        <w:tc>
          <w:tcPr>
            <w:tcW w:w="3960" w:type="dxa"/>
            <w:tcBorders>
              <w:top w:val="single" w:sz="4" w:space="0" w:color="D9D9D9" w:themeColor="background1" w:themeShade="D9"/>
              <w:left w:val="nil"/>
              <w:bottom w:val="single" w:sz="4" w:space="0" w:color="C9C9C9"/>
              <w:right w:val="single" w:sz="4" w:space="0" w:color="D9D9D9" w:themeColor="background1" w:themeShade="D9"/>
            </w:tcBorders>
            <w:shd w:val="clear" w:color="A5A5A5" w:fill="A5A5A5"/>
            <w:noWrap/>
            <w:vAlign w:val="bottom"/>
            <w:hideMark/>
          </w:tcPr>
          <w:p w14:paraId="3A3A90B1" w14:textId="6225C3F2" w:rsidR="0085352E" w:rsidRPr="000F697B" w:rsidRDefault="0085352E" w:rsidP="003E58F8">
            <w:pPr>
              <w:widowControl/>
              <w:autoSpaceDE/>
              <w:autoSpaceDN/>
              <w:adjustRightInd/>
              <w:ind w:left="720"/>
              <w:jc w:val="center"/>
              <w:rPr>
                <w:rFonts w:eastAsia="Times New Roman" w:cs="Arial"/>
                <w:b/>
                <w:bCs/>
                <w:color w:val="FFFFFF"/>
                <w:szCs w:val="22"/>
              </w:rPr>
            </w:pPr>
            <w:r w:rsidRPr="000F697B">
              <w:rPr>
                <w:rFonts w:eastAsia="Times New Roman" w:cs="Arial"/>
                <w:b/>
                <w:bCs/>
                <w:color w:val="FFFFFF"/>
                <w:szCs w:val="22"/>
              </w:rPr>
              <w:t>FY2</w:t>
            </w:r>
            <w:r w:rsidR="005D1AD8">
              <w:rPr>
                <w:rFonts w:eastAsia="Times New Roman" w:cs="Arial"/>
                <w:b/>
                <w:bCs/>
                <w:color w:val="FFFFFF"/>
                <w:szCs w:val="22"/>
              </w:rPr>
              <w:t>1</w:t>
            </w:r>
            <w:r w:rsidRPr="000F697B">
              <w:rPr>
                <w:rFonts w:eastAsia="Times New Roman" w:cs="Arial"/>
                <w:b/>
                <w:bCs/>
                <w:color w:val="FFFFFF"/>
                <w:szCs w:val="22"/>
              </w:rPr>
              <w:t xml:space="preserve"> Master Contract Spend</w:t>
            </w:r>
          </w:p>
        </w:tc>
      </w:tr>
      <w:tr w:rsidR="004A61FA" w:rsidRPr="000F697B" w14:paraId="001D792C" w14:textId="77777777" w:rsidTr="003E58F8">
        <w:trPr>
          <w:trHeight w:val="268"/>
        </w:trPr>
        <w:tc>
          <w:tcPr>
            <w:tcW w:w="5395" w:type="dxa"/>
            <w:tcBorders>
              <w:top w:val="single" w:sz="4" w:space="0" w:color="C9C9C9"/>
              <w:left w:val="single" w:sz="4" w:space="0" w:color="C9C9C9"/>
              <w:bottom w:val="single" w:sz="4" w:space="0" w:color="C9C9C9"/>
              <w:right w:val="nil"/>
            </w:tcBorders>
            <w:shd w:val="clear" w:color="EDEDED" w:fill="EDEDED"/>
            <w:noWrap/>
            <w:vAlign w:val="bottom"/>
            <w:hideMark/>
          </w:tcPr>
          <w:p w14:paraId="36863442" w14:textId="1353D4D7"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Department of Social and Health Services</w:t>
            </w:r>
          </w:p>
        </w:tc>
        <w:tc>
          <w:tcPr>
            <w:tcW w:w="3960" w:type="dxa"/>
            <w:tcBorders>
              <w:top w:val="single" w:sz="4" w:space="0" w:color="C9C9C9"/>
              <w:left w:val="nil"/>
              <w:bottom w:val="single" w:sz="4" w:space="0" w:color="C9C9C9"/>
              <w:right w:val="single" w:sz="4" w:space="0" w:color="C9C9C9"/>
            </w:tcBorders>
            <w:shd w:val="clear" w:color="EDEDED" w:fill="EDEDED"/>
            <w:noWrap/>
            <w:vAlign w:val="bottom"/>
            <w:hideMark/>
          </w:tcPr>
          <w:p w14:paraId="558F9394" w14:textId="7410598B"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28,086,973 </w:t>
            </w:r>
          </w:p>
        </w:tc>
      </w:tr>
      <w:tr w:rsidR="004A61FA" w:rsidRPr="000F697B" w14:paraId="13F2B798" w14:textId="77777777" w:rsidTr="003E58F8">
        <w:trPr>
          <w:trHeight w:val="268"/>
        </w:trPr>
        <w:tc>
          <w:tcPr>
            <w:tcW w:w="5395" w:type="dxa"/>
            <w:tcBorders>
              <w:top w:val="nil"/>
              <w:left w:val="single" w:sz="4" w:space="0" w:color="C9C9C9"/>
              <w:bottom w:val="single" w:sz="4" w:space="0" w:color="C9C9C9"/>
              <w:right w:val="nil"/>
            </w:tcBorders>
            <w:shd w:val="clear" w:color="auto" w:fill="auto"/>
            <w:noWrap/>
            <w:vAlign w:val="bottom"/>
            <w:hideMark/>
          </w:tcPr>
          <w:p w14:paraId="05BE4FC0" w14:textId="10683051"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Consolidated Technology Services</w:t>
            </w:r>
          </w:p>
        </w:tc>
        <w:tc>
          <w:tcPr>
            <w:tcW w:w="3960" w:type="dxa"/>
            <w:tcBorders>
              <w:top w:val="single" w:sz="4" w:space="0" w:color="C9C9C9"/>
              <w:left w:val="nil"/>
              <w:bottom w:val="single" w:sz="4" w:space="0" w:color="C9C9C9"/>
              <w:right w:val="single" w:sz="4" w:space="0" w:color="C9C9C9"/>
            </w:tcBorders>
            <w:shd w:val="clear" w:color="auto" w:fill="auto"/>
            <w:noWrap/>
            <w:vAlign w:val="bottom"/>
            <w:hideMark/>
          </w:tcPr>
          <w:p w14:paraId="71062628" w14:textId="32481C36"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25,834,132 </w:t>
            </w:r>
          </w:p>
        </w:tc>
      </w:tr>
      <w:tr w:rsidR="004A61FA" w:rsidRPr="000F697B" w14:paraId="4E624161" w14:textId="77777777" w:rsidTr="003E58F8">
        <w:trPr>
          <w:trHeight w:val="268"/>
        </w:trPr>
        <w:tc>
          <w:tcPr>
            <w:tcW w:w="5395" w:type="dxa"/>
            <w:tcBorders>
              <w:top w:val="nil"/>
              <w:left w:val="single" w:sz="4" w:space="0" w:color="C9C9C9"/>
              <w:bottom w:val="single" w:sz="4" w:space="0" w:color="C9C9C9"/>
              <w:right w:val="nil"/>
            </w:tcBorders>
            <w:shd w:val="clear" w:color="EDEDED" w:fill="EDEDED"/>
            <w:noWrap/>
            <w:vAlign w:val="bottom"/>
            <w:hideMark/>
          </w:tcPr>
          <w:p w14:paraId="6179F47E" w14:textId="16E31F05"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Department of Transportation</w:t>
            </w:r>
          </w:p>
        </w:tc>
        <w:tc>
          <w:tcPr>
            <w:tcW w:w="3960" w:type="dxa"/>
            <w:tcBorders>
              <w:top w:val="single" w:sz="4" w:space="0" w:color="C9C9C9"/>
              <w:left w:val="nil"/>
              <w:bottom w:val="single" w:sz="4" w:space="0" w:color="C9C9C9"/>
              <w:right w:val="single" w:sz="4" w:space="0" w:color="C9C9C9"/>
            </w:tcBorders>
            <w:shd w:val="clear" w:color="EDEDED" w:fill="EDEDED"/>
            <w:noWrap/>
            <w:vAlign w:val="bottom"/>
            <w:hideMark/>
          </w:tcPr>
          <w:p w14:paraId="1EA58168" w14:textId="2953DCF8"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25,720,669 </w:t>
            </w:r>
          </w:p>
        </w:tc>
      </w:tr>
      <w:tr w:rsidR="004A61FA" w:rsidRPr="000F697B" w14:paraId="564AF44A" w14:textId="77777777" w:rsidTr="003E58F8">
        <w:trPr>
          <w:trHeight w:val="268"/>
        </w:trPr>
        <w:tc>
          <w:tcPr>
            <w:tcW w:w="5395" w:type="dxa"/>
            <w:tcBorders>
              <w:top w:val="nil"/>
              <w:left w:val="single" w:sz="4" w:space="0" w:color="C9C9C9"/>
              <w:bottom w:val="single" w:sz="4" w:space="0" w:color="C9C9C9"/>
              <w:right w:val="nil"/>
            </w:tcBorders>
            <w:shd w:val="clear" w:color="auto" w:fill="auto"/>
            <w:noWrap/>
            <w:vAlign w:val="bottom"/>
            <w:hideMark/>
          </w:tcPr>
          <w:p w14:paraId="2A7314D6" w14:textId="6FEB2B8C"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City of Seattle</w:t>
            </w:r>
          </w:p>
        </w:tc>
        <w:tc>
          <w:tcPr>
            <w:tcW w:w="3960" w:type="dxa"/>
            <w:tcBorders>
              <w:top w:val="single" w:sz="4" w:space="0" w:color="C9C9C9"/>
              <w:left w:val="nil"/>
              <w:bottom w:val="single" w:sz="4" w:space="0" w:color="C9C9C9"/>
              <w:right w:val="single" w:sz="4" w:space="0" w:color="C9C9C9"/>
            </w:tcBorders>
            <w:shd w:val="clear" w:color="auto" w:fill="auto"/>
            <w:noWrap/>
            <w:vAlign w:val="bottom"/>
            <w:hideMark/>
          </w:tcPr>
          <w:p w14:paraId="1BF30D1E" w14:textId="1150E97E"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21,448,284 </w:t>
            </w:r>
          </w:p>
        </w:tc>
      </w:tr>
      <w:tr w:rsidR="004A61FA" w:rsidRPr="000F697B" w14:paraId="16201C9B" w14:textId="77777777" w:rsidTr="003E58F8">
        <w:trPr>
          <w:trHeight w:val="268"/>
        </w:trPr>
        <w:tc>
          <w:tcPr>
            <w:tcW w:w="5395" w:type="dxa"/>
            <w:tcBorders>
              <w:top w:val="nil"/>
              <w:left w:val="single" w:sz="4" w:space="0" w:color="C9C9C9"/>
              <w:bottom w:val="single" w:sz="4" w:space="0" w:color="C9C9C9"/>
              <w:right w:val="nil"/>
            </w:tcBorders>
            <w:shd w:val="clear" w:color="EDEDED" w:fill="EDEDED"/>
            <w:noWrap/>
            <w:vAlign w:val="bottom"/>
            <w:hideMark/>
          </w:tcPr>
          <w:p w14:paraId="148AA429" w14:textId="7671D1DD"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Department of Employment Security</w:t>
            </w:r>
          </w:p>
        </w:tc>
        <w:tc>
          <w:tcPr>
            <w:tcW w:w="3960" w:type="dxa"/>
            <w:tcBorders>
              <w:top w:val="single" w:sz="4" w:space="0" w:color="C9C9C9"/>
              <w:left w:val="nil"/>
              <w:bottom w:val="single" w:sz="4" w:space="0" w:color="C9C9C9"/>
              <w:right w:val="single" w:sz="4" w:space="0" w:color="C9C9C9"/>
            </w:tcBorders>
            <w:shd w:val="clear" w:color="EDEDED" w:fill="EDEDED"/>
            <w:noWrap/>
            <w:vAlign w:val="bottom"/>
            <w:hideMark/>
          </w:tcPr>
          <w:p w14:paraId="25C8743D" w14:textId="681A409E"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19,126,379 </w:t>
            </w:r>
          </w:p>
        </w:tc>
      </w:tr>
      <w:tr w:rsidR="004A61FA" w:rsidRPr="000F697B" w14:paraId="77E756FF" w14:textId="77777777" w:rsidTr="003E58F8">
        <w:trPr>
          <w:trHeight w:val="268"/>
        </w:trPr>
        <w:tc>
          <w:tcPr>
            <w:tcW w:w="5395" w:type="dxa"/>
            <w:tcBorders>
              <w:top w:val="nil"/>
              <w:left w:val="single" w:sz="4" w:space="0" w:color="C9C9C9"/>
              <w:bottom w:val="single" w:sz="4" w:space="0" w:color="C9C9C9"/>
              <w:right w:val="nil"/>
            </w:tcBorders>
            <w:shd w:val="clear" w:color="auto" w:fill="auto"/>
            <w:noWrap/>
            <w:vAlign w:val="bottom"/>
            <w:hideMark/>
          </w:tcPr>
          <w:p w14:paraId="68F634FB" w14:textId="43B9A71C"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King County</w:t>
            </w:r>
          </w:p>
        </w:tc>
        <w:tc>
          <w:tcPr>
            <w:tcW w:w="3960" w:type="dxa"/>
            <w:tcBorders>
              <w:top w:val="single" w:sz="4" w:space="0" w:color="C9C9C9"/>
              <w:left w:val="nil"/>
              <w:bottom w:val="single" w:sz="4" w:space="0" w:color="C9C9C9"/>
              <w:right w:val="single" w:sz="4" w:space="0" w:color="C9C9C9"/>
            </w:tcBorders>
            <w:shd w:val="clear" w:color="auto" w:fill="auto"/>
            <w:noWrap/>
            <w:vAlign w:val="bottom"/>
            <w:hideMark/>
          </w:tcPr>
          <w:p w14:paraId="485B76BF" w14:textId="522DCFEE"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17,974,508 </w:t>
            </w:r>
          </w:p>
        </w:tc>
      </w:tr>
      <w:tr w:rsidR="004A61FA" w:rsidRPr="000F697B" w14:paraId="7CC32EFE" w14:textId="77777777" w:rsidTr="003E58F8">
        <w:trPr>
          <w:trHeight w:val="268"/>
        </w:trPr>
        <w:tc>
          <w:tcPr>
            <w:tcW w:w="5395" w:type="dxa"/>
            <w:tcBorders>
              <w:top w:val="nil"/>
              <w:left w:val="single" w:sz="4" w:space="0" w:color="C9C9C9"/>
              <w:bottom w:val="single" w:sz="4" w:space="0" w:color="C9C9C9"/>
              <w:right w:val="nil"/>
            </w:tcBorders>
            <w:shd w:val="clear" w:color="EDEDED" w:fill="EDEDED"/>
            <w:noWrap/>
            <w:vAlign w:val="bottom"/>
            <w:hideMark/>
          </w:tcPr>
          <w:p w14:paraId="01017E22" w14:textId="4F9D2296"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Department of Enterprise Services</w:t>
            </w:r>
          </w:p>
        </w:tc>
        <w:tc>
          <w:tcPr>
            <w:tcW w:w="3960" w:type="dxa"/>
            <w:tcBorders>
              <w:top w:val="single" w:sz="4" w:space="0" w:color="C9C9C9"/>
              <w:left w:val="nil"/>
              <w:bottom w:val="single" w:sz="4" w:space="0" w:color="C9C9C9"/>
              <w:right w:val="single" w:sz="4" w:space="0" w:color="C9C9C9"/>
            </w:tcBorders>
            <w:shd w:val="clear" w:color="EDEDED" w:fill="EDEDED"/>
            <w:noWrap/>
            <w:vAlign w:val="bottom"/>
            <w:hideMark/>
          </w:tcPr>
          <w:p w14:paraId="31509DD1" w14:textId="77490015"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16,291,374 </w:t>
            </w:r>
          </w:p>
        </w:tc>
      </w:tr>
      <w:tr w:rsidR="004A61FA" w:rsidRPr="000F697B" w14:paraId="160B11D7" w14:textId="77777777" w:rsidTr="003E58F8">
        <w:trPr>
          <w:trHeight w:val="268"/>
        </w:trPr>
        <w:tc>
          <w:tcPr>
            <w:tcW w:w="5395" w:type="dxa"/>
            <w:tcBorders>
              <w:top w:val="single" w:sz="4" w:space="0" w:color="C9C9C9"/>
              <w:left w:val="single" w:sz="4" w:space="0" w:color="C9C9C9"/>
              <w:bottom w:val="single" w:sz="4" w:space="0" w:color="C9C9C9"/>
              <w:right w:val="nil"/>
            </w:tcBorders>
            <w:shd w:val="clear" w:color="auto" w:fill="auto"/>
            <w:noWrap/>
            <w:vAlign w:val="bottom"/>
            <w:hideMark/>
          </w:tcPr>
          <w:p w14:paraId="66EECA55" w14:textId="16253E44"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Department of Corrections</w:t>
            </w:r>
          </w:p>
        </w:tc>
        <w:tc>
          <w:tcPr>
            <w:tcW w:w="3960" w:type="dxa"/>
            <w:tcBorders>
              <w:top w:val="single" w:sz="4" w:space="0" w:color="C9C9C9"/>
              <w:left w:val="nil"/>
              <w:bottom w:val="single" w:sz="4" w:space="0" w:color="C9C9C9"/>
              <w:right w:val="single" w:sz="4" w:space="0" w:color="C9C9C9"/>
            </w:tcBorders>
            <w:shd w:val="clear" w:color="auto" w:fill="auto"/>
            <w:noWrap/>
            <w:vAlign w:val="bottom"/>
            <w:hideMark/>
          </w:tcPr>
          <w:p w14:paraId="71D51171" w14:textId="46951F50"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13,965,744 </w:t>
            </w:r>
          </w:p>
        </w:tc>
      </w:tr>
      <w:tr w:rsidR="004A61FA" w:rsidRPr="000F697B" w14:paraId="7D9B04AF" w14:textId="77777777" w:rsidTr="003E58F8">
        <w:trPr>
          <w:trHeight w:val="268"/>
        </w:trPr>
        <w:tc>
          <w:tcPr>
            <w:tcW w:w="5395" w:type="dxa"/>
            <w:tcBorders>
              <w:top w:val="single" w:sz="4" w:space="0" w:color="C9C9C9"/>
              <w:left w:val="single" w:sz="4" w:space="0" w:color="C9C9C9"/>
              <w:bottom w:val="single" w:sz="4" w:space="0" w:color="C9C9C9"/>
              <w:right w:val="nil"/>
            </w:tcBorders>
            <w:shd w:val="clear" w:color="EDEDED" w:fill="EDEDED"/>
            <w:noWrap/>
            <w:vAlign w:val="bottom"/>
            <w:hideMark/>
          </w:tcPr>
          <w:p w14:paraId="41B82D43" w14:textId="4D1D1D60"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Seattle School District 1</w:t>
            </w:r>
          </w:p>
        </w:tc>
        <w:tc>
          <w:tcPr>
            <w:tcW w:w="3960" w:type="dxa"/>
            <w:tcBorders>
              <w:top w:val="single" w:sz="4" w:space="0" w:color="C9C9C9"/>
              <w:left w:val="nil"/>
              <w:bottom w:val="single" w:sz="4" w:space="0" w:color="C9C9C9"/>
              <w:right w:val="single" w:sz="4" w:space="0" w:color="C9C9C9"/>
            </w:tcBorders>
            <w:shd w:val="clear" w:color="EDEDED" w:fill="EDEDED"/>
            <w:noWrap/>
            <w:vAlign w:val="bottom"/>
            <w:hideMark/>
          </w:tcPr>
          <w:p w14:paraId="51AD3A1B" w14:textId="61DF194D"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11,121,071 </w:t>
            </w:r>
          </w:p>
        </w:tc>
      </w:tr>
      <w:tr w:rsidR="004A61FA" w:rsidRPr="000F697B" w14:paraId="7F5E451F" w14:textId="77777777" w:rsidTr="003E58F8">
        <w:trPr>
          <w:trHeight w:val="268"/>
        </w:trPr>
        <w:tc>
          <w:tcPr>
            <w:tcW w:w="5395" w:type="dxa"/>
            <w:tcBorders>
              <w:top w:val="single" w:sz="4" w:space="0" w:color="C9C9C9"/>
              <w:left w:val="single" w:sz="4" w:space="0" w:color="C9C9C9"/>
              <w:bottom w:val="single" w:sz="4" w:space="0" w:color="C9C9C9"/>
              <w:right w:val="nil"/>
            </w:tcBorders>
            <w:shd w:val="clear" w:color="auto" w:fill="auto"/>
            <w:noWrap/>
            <w:vAlign w:val="bottom"/>
            <w:hideMark/>
          </w:tcPr>
          <w:p w14:paraId="3F0F9679" w14:textId="0764C74B"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Bellevue School District 405</w:t>
            </w:r>
          </w:p>
        </w:tc>
        <w:tc>
          <w:tcPr>
            <w:tcW w:w="3960" w:type="dxa"/>
            <w:tcBorders>
              <w:top w:val="single" w:sz="4" w:space="0" w:color="C9C9C9"/>
              <w:left w:val="nil"/>
              <w:bottom w:val="single" w:sz="4" w:space="0" w:color="C9C9C9"/>
              <w:right w:val="single" w:sz="4" w:space="0" w:color="C9C9C9"/>
            </w:tcBorders>
            <w:shd w:val="clear" w:color="auto" w:fill="auto"/>
            <w:noWrap/>
            <w:vAlign w:val="bottom"/>
            <w:hideMark/>
          </w:tcPr>
          <w:p w14:paraId="540C852F" w14:textId="46DA85A0"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10,950,754 </w:t>
            </w:r>
          </w:p>
        </w:tc>
      </w:tr>
    </w:tbl>
    <w:p w14:paraId="3BD7CE0B" w14:textId="77777777" w:rsidR="00356746" w:rsidRDefault="00356746" w:rsidP="00356746">
      <w:pPr>
        <w:jc w:val="both"/>
        <w:rPr>
          <w:rFonts w:cs="Arial"/>
          <w:b/>
          <w:szCs w:val="20"/>
        </w:rPr>
      </w:pPr>
    </w:p>
    <w:p w14:paraId="4D77E32B" w14:textId="5533B5F1" w:rsidR="006122AB" w:rsidRPr="008569EB" w:rsidRDefault="006122AB" w:rsidP="00356746">
      <w:pPr>
        <w:jc w:val="both"/>
        <w:rPr>
          <w:rFonts w:cs="Arial"/>
          <w:b/>
          <w:szCs w:val="20"/>
        </w:rPr>
      </w:pPr>
      <w:r w:rsidRPr="004D3C9F">
        <w:rPr>
          <w:rFonts w:cs="Arial"/>
          <w:b/>
          <w:szCs w:val="20"/>
        </w:rPr>
        <w:t>State Agency and Higher Education Summary</w:t>
      </w:r>
    </w:p>
    <w:p w14:paraId="0B52D2F3" w14:textId="77777777" w:rsidR="006122AB" w:rsidRPr="000F697B" w:rsidRDefault="006122AB" w:rsidP="006122AB">
      <w:pPr>
        <w:jc w:val="both"/>
        <w:rPr>
          <w:rFonts w:cs="Arial"/>
          <w:b/>
          <w:szCs w:val="20"/>
        </w:rPr>
      </w:pPr>
    </w:p>
    <w:tbl>
      <w:tblPr>
        <w:tblW w:w="5000" w:type="pct"/>
        <w:tblLook w:val="04A0" w:firstRow="1" w:lastRow="0" w:firstColumn="1" w:lastColumn="0" w:noHBand="0" w:noVBand="1"/>
      </w:tblPr>
      <w:tblGrid>
        <w:gridCol w:w="5418"/>
        <w:gridCol w:w="3932"/>
      </w:tblGrid>
      <w:tr w:rsidR="00795548" w:rsidRPr="00795548" w14:paraId="2120F247" w14:textId="77777777" w:rsidTr="004A61FA">
        <w:trPr>
          <w:trHeight w:val="300"/>
        </w:trPr>
        <w:tc>
          <w:tcPr>
            <w:tcW w:w="3282" w:type="pct"/>
            <w:tcBorders>
              <w:top w:val="single" w:sz="4" w:space="0" w:color="C9C9C9"/>
              <w:left w:val="single" w:sz="4" w:space="0" w:color="C9C9C9"/>
              <w:bottom w:val="single" w:sz="4" w:space="0" w:color="C9C9C9"/>
              <w:right w:val="nil"/>
            </w:tcBorders>
            <w:shd w:val="clear" w:color="5B9BD5" w:fill="5B9BD5"/>
            <w:noWrap/>
            <w:vAlign w:val="bottom"/>
            <w:hideMark/>
          </w:tcPr>
          <w:p w14:paraId="4F625B83" w14:textId="77777777" w:rsidR="00795548" w:rsidRPr="00795548" w:rsidRDefault="00795548" w:rsidP="00795548">
            <w:pPr>
              <w:widowControl/>
              <w:autoSpaceDE/>
              <w:autoSpaceDN/>
              <w:adjustRightInd/>
              <w:rPr>
                <w:rFonts w:eastAsia="Times New Roman" w:cs="Arial"/>
                <w:b/>
                <w:bCs/>
                <w:color w:val="FFFFFF"/>
                <w:szCs w:val="22"/>
              </w:rPr>
            </w:pPr>
            <w:r w:rsidRPr="00795548">
              <w:rPr>
                <w:rFonts w:eastAsia="Times New Roman" w:cs="Arial"/>
                <w:b/>
                <w:bCs/>
                <w:color w:val="FFFFFF"/>
                <w:szCs w:val="22"/>
              </w:rPr>
              <w:t>Customer Name</w:t>
            </w:r>
          </w:p>
        </w:tc>
        <w:tc>
          <w:tcPr>
            <w:tcW w:w="1718" w:type="pct"/>
            <w:tcBorders>
              <w:top w:val="single" w:sz="4" w:space="0" w:color="C9C9C9"/>
              <w:left w:val="nil"/>
              <w:bottom w:val="single" w:sz="4" w:space="0" w:color="C9C9C9"/>
              <w:right w:val="single" w:sz="4" w:space="0" w:color="C9C9C9"/>
            </w:tcBorders>
            <w:shd w:val="clear" w:color="5B9BD5" w:fill="5B9BD5"/>
            <w:noWrap/>
            <w:vAlign w:val="bottom"/>
            <w:hideMark/>
          </w:tcPr>
          <w:p w14:paraId="0B5D9B71" w14:textId="77777777" w:rsidR="00795548" w:rsidRPr="00795548" w:rsidRDefault="00795548" w:rsidP="003E58F8">
            <w:pPr>
              <w:widowControl/>
              <w:autoSpaceDE/>
              <w:autoSpaceDN/>
              <w:adjustRightInd/>
              <w:ind w:left="720"/>
              <w:jc w:val="center"/>
              <w:rPr>
                <w:rFonts w:eastAsia="Times New Roman" w:cs="Arial"/>
                <w:b/>
                <w:bCs/>
                <w:color w:val="FFFFFF"/>
                <w:szCs w:val="22"/>
              </w:rPr>
            </w:pPr>
            <w:r w:rsidRPr="00795548">
              <w:rPr>
                <w:rFonts w:eastAsia="Times New Roman" w:cs="Arial"/>
                <w:b/>
                <w:bCs/>
                <w:color w:val="FFFFFF"/>
                <w:szCs w:val="22"/>
              </w:rPr>
              <w:t>FY21 Master Contract Spend</w:t>
            </w:r>
          </w:p>
        </w:tc>
      </w:tr>
      <w:tr w:rsidR="004A61FA" w:rsidRPr="00795548" w14:paraId="3FC38D44" w14:textId="77777777" w:rsidTr="004A61FA">
        <w:trPr>
          <w:trHeight w:val="285"/>
        </w:trPr>
        <w:tc>
          <w:tcPr>
            <w:tcW w:w="3282" w:type="pct"/>
            <w:tcBorders>
              <w:top w:val="single" w:sz="4" w:space="0" w:color="9BC2E6"/>
              <w:left w:val="single" w:sz="4" w:space="0" w:color="9BC2E6"/>
              <w:bottom w:val="single" w:sz="4" w:space="0" w:color="9BC2E6"/>
              <w:right w:val="nil"/>
            </w:tcBorders>
            <w:shd w:val="clear" w:color="DDEBF7" w:fill="DDEBF7"/>
            <w:noWrap/>
            <w:vAlign w:val="bottom"/>
            <w:hideMark/>
          </w:tcPr>
          <w:p w14:paraId="07FB586D" w14:textId="77777777" w:rsidR="004A61FA" w:rsidRPr="00795548" w:rsidRDefault="004A61FA" w:rsidP="004A61FA">
            <w:pPr>
              <w:widowControl/>
              <w:autoSpaceDE/>
              <w:autoSpaceDN/>
              <w:adjustRightInd/>
              <w:rPr>
                <w:rFonts w:eastAsia="Times New Roman" w:cs="Arial"/>
                <w:color w:val="000000"/>
                <w:szCs w:val="22"/>
              </w:rPr>
            </w:pPr>
            <w:r w:rsidRPr="00795548">
              <w:rPr>
                <w:rFonts w:eastAsia="Times New Roman" w:cs="Arial"/>
                <w:color w:val="000000"/>
                <w:szCs w:val="22"/>
              </w:rPr>
              <w:t>Department of Social and Health Services</w:t>
            </w:r>
          </w:p>
        </w:tc>
        <w:tc>
          <w:tcPr>
            <w:tcW w:w="1718" w:type="pct"/>
            <w:tcBorders>
              <w:top w:val="single" w:sz="4" w:space="0" w:color="9BC2E6"/>
              <w:left w:val="nil"/>
              <w:bottom w:val="single" w:sz="4" w:space="0" w:color="9BC2E6"/>
              <w:right w:val="single" w:sz="4" w:space="0" w:color="9BC2E6"/>
            </w:tcBorders>
            <w:shd w:val="clear" w:color="DDEBF7" w:fill="DDEBF7"/>
            <w:noWrap/>
            <w:vAlign w:val="bottom"/>
            <w:hideMark/>
          </w:tcPr>
          <w:p w14:paraId="507BFDC7" w14:textId="48451F1F" w:rsidR="004A61FA" w:rsidRPr="00795548"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28,086,973 </w:t>
            </w:r>
          </w:p>
        </w:tc>
      </w:tr>
      <w:tr w:rsidR="004A61FA" w:rsidRPr="00795548" w14:paraId="0A3ACFFA" w14:textId="77777777" w:rsidTr="004A61FA">
        <w:trPr>
          <w:trHeight w:val="285"/>
        </w:trPr>
        <w:tc>
          <w:tcPr>
            <w:tcW w:w="3282" w:type="pct"/>
            <w:tcBorders>
              <w:top w:val="single" w:sz="4" w:space="0" w:color="9BC2E6"/>
              <w:left w:val="single" w:sz="4" w:space="0" w:color="9BC2E6"/>
              <w:bottom w:val="single" w:sz="4" w:space="0" w:color="9BC2E6"/>
              <w:right w:val="nil"/>
            </w:tcBorders>
            <w:shd w:val="clear" w:color="auto" w:fill="auto"/>
            <w:noWrap/>
            <w:vAlign w:val="bottom"/>
            <w:hideMark/>
          </w:tcPr>
          <w:p w14:paraId="4C0F389A" w14:textId="77777777" w:rsidR="004A61FA" w:rsidRPr="00795548" w:rsidRDefault="004A61FA" w:rsidP="004A61FA">
            <w:pPr>
              <w:widowControl/>
              <w:autoSpaceDE/>
              <w:autoSpaceDN/>
              <w:adjustRightInd/>
              <w:rPr>
                <w:rFonts w:eastAsia="Times New Roman" w:cs="Arial"/>
                <w:color w:val="000000"/>
                <w:szCs w:val="22"/>
              </w:rPr>
            </w:pPr>
            <w:r w:rsidRPr="00795548">
              <w:rPr>
                <w:rFonts w:eastAsia="Times New Roman" w:cs="Arial"/>
                <w:color w:val="000000"/>
                <w:szCs w:val="22"/>
              </w:rPr>
              <w:t>Consolidated Technology Services</w:t>
            </w:r>
          </w:p>
        </w:tc>
        <w:tc>
          <w:tcPr>
            <w:tcW w:w="1718" w:type="pct"/>
            <w:tcBorders>
              <w:top w:val="single" w:sz="4" w:space="0" w:color="9BC2E6"/>
              <w:left w:val="nil"/>
              <w:bottom w:val="single" w:sz="4" w:space="0" w:color="9BC2E6"/>
              <w:right w:val="single" w:sz="4" w:space="0" w:color="9BC2E6"/>
            </w:tcBorders>
            <w:shd w:val="clear" w:color="auto" w:fill="auto"/>
            <w:noWrap/>
            <w:vAlign w:val="bottom"/>
            <w:hideMark/>
          </w:tcPr>
          <w:p w14:paraId="7EFB500C" w14:textId="1EC7B37E" w:rsidR="004A61FA" w:rsidRPr="00795548"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25,834,132 </w:t>
            </w:r>
          </w:p>
        </w:tc>
      </w:tr>
      <w:tr w:rsidR="004A61FA" w:rsidRPr="00795548" w14:paraId="5485D23D" w14:textId="77777777" w:rsidTr="004A61FA">
        <w:trPr>
          <w:trHeight w:val="285"/>
        </w:trPr>
        <w:tc>
          <w:tcPr>
            <w:tcW w:w="3282" w:type="pct"/>
            <w:tcBorders>
              <w:top w:val="single" w:sz="4" w:space="0" w:color="9BC2E6"/>
              <w:left w:val="single" w:sz="4" w:space="0" w:color="9BC2E6"/>
              <w:bottom w:val="single" w:sz="4" w:space="0" w:color="9BC2E6"/>
              <w:right w:val="nil"/>
            </w:tcBorders>
            <w:shd w:val="clear" w:color="DDEBF7" w:fill="DDEBF7"/>
            <w:noWrap/>
            <w:vAlign w:val="bottom"/>
            <w:hideMark/>
          </w:tcPr>
          <w:p w14:paraId="0D4967CA" w14:textId="77777777" w:rsidR="004A61FA" w:rsidRPr="00795548" w:rsidRDefault="004A61FA" w:rsidP="004A61FA">
            <w:pPr>
              <w:widowControl/>
              <w:autoSpaceDE/>
              <w:autoSpaceDN/>
              <w:adjustRightInd/>
              <w:rPr>
                <w:rFonts w:eastAsia="Times New Roman" w:cs="Arial"/>
                <w:color w:val="000000"/>
                <w:szCs w:val="22"/>
              </w:rPr>
            </w:pPr>
            <w:r w:rsidRPr="00795548">
              <w:rPr>
                <w:rFonts w:eastAsia="Times New Roman" w:cs="Arial"/>
                <w:color w:val="000000"/>
                <w:szCs w:val="22"/>
              </w:rPr>
              <w:t>Department of Transportation</w:t>
            </w:r>
          </w:p>
        </w:tc>
        <w:tc>
          <w:tcPr>
            <w:tcW w:w="1718" w:type="pct"/>
            <w:tcBorders>
              <w:top w:val="single" w:sz="4" w:space="0" w:color="9BC2E6"/>
              <w:left w:val="nil"/>
              <w:bottom w:val="single" w:sz="4" w:space="0" w:color="9BC2E6"/>
              <w:right w:val="single" w:sz="4" w:space="0" w:color="9BC2E6"/>
            </w:tcBorders>
            <w:shd w:val="clear" w:color="DDEBF7" w:fill="DDEBF7"/>
            <w:noWrap/>
            <w:vAlign w:val="bottom"/>
            <w:hideMark/>
          </w:tcPr>
          <w:p w14:paraId="541F6C2D" w14:textId="6E3DAA55" w:rsidR="004A61FA" w:rsidRPr="00795548"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25,720,669 </w:t>
            </w:r>
          </w:p>
        </w:tc>
      </w:tr>
      <w:tr w:rsidR="004A61FA" w:rsidRPr="00795548" w14:paraId="585FBB44" w14:textId="77777777" w:rsidTr="004A61FA">
        <w:trPr>
          <w:trHeight w:val="285"/>
        </w:trPr>
        <w:tc>
          <w:tcPr>
            <w:tcW w:w="3282" w:type="pct"/>
            <w:tcBorders>
              <w:top w:val="single" w:sz="4" w:space="0" w:color="C9C9C9"/>
              <w:left w:val="single" w:sz="4" w:space="0" w:color="C9C9C9"/>
              <w:bottom w:val="single" w:sz="4" w:space="0" w:color="C9C9C9"/>
              <w:right w:val="nil"/>
            </w:tcBorders>
            <w:shd w:val="clear" w:color="auto" w:fill="auto"/>
            <w:noWrap/>
            <w:vAlign w:val="bottom"/>
            <w:hideMark/>
          </w:tcPr>
          <w:p w14:paraId="2CDF4A79" w14:textId="77777777" w:rsidR="004A61FA" w:rsidRPr="00795548" w:rsidRDefault="004A61FA" w:rsidP="004A61FA">
            <w:pPr>
              <w:widowControl/>
              <w:autoSpaceDE/>
              <w:autoSpaceDN/>
              <w:adjustRightInd/>
              <w:rPr>
                <w:rFonts w:eastAsia="Times New Roman" w:cs="Arial"/>
                <w:color w:val="000000"/>
                <w:szCs w:val="22"/>
              </w:rPr>
            </w:pPr>
            <w:r w:rsidRPr="00795548">
              <w:rPr>
                <w:rFonts w:eastAsia="Times New Roman" w:cs="Arial"/>
                <w:color w:val="000000"/>
                <w:szCs w:val="22"/>
              </w:rPr>
              <w:t>Department of Employment Security</w:t>
            </w:r>
          </w:p>
        </w:tc>
        <w:tc>
          <w:tcPr>
            <w:tcW w:w="1718" w:type="pct"/>
            <w:tcBorders>
              <w:top w:val="single" w:sz="4" w:space="0" w:color="9BC2E6"/>
              <w:left w:val="nil"/>
              <w:bottom w:val="single" w:sz="4" w:space="0" w:color="9BC2E6"/>
              <w:right w:val="single" w:sz="4" w:space="0" w:color="9BC2E6"/>
            </w:tcBorders>
            <w:shd w:val="clear" w:color="auto" w:fill="auto"/>
            <w:noWrap/>
            <w:vAlign w:val="bottom"/>
            <w:hideMark/>
          </w:tcPr>
          <w:p w14:paraId="0D38D568" w14:textId="4EBC7C9C" w:rsidR="004A61FA" w:rsidRPr="00795548"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19,126,379 </w:t>
            </w:r>
          </w:p>
        </w:tc>
      </w:tr>
      <w:tr w:rsidR="004A61FA" w:rsidRPr="00795548" w14:paraId="26203CEB" w14:textId="77777777" w:rsidTr="004A61FA">
        <w:trPr>
          <w:trHeight w:val="285"/>
        </w:trPr>
        <w:tc>
          <w:tcPr>
            <w:tcW w:w="3282" w:type="pct"/>
            <w:tcBorders>
              <w:top w:val="single" w:sz="4" w:space="0" w:color="C9C9C9"/>
              <w:left w:val="single" w:sz="4" w:space="0" w:color="C9C9C9"/>
              <w:bottom w:val="single" w:sz="4" w:space="0" w:color="C9C9C9"/>
              <w:right w:val="nil"/>
            </w:tcBorders>
            <w:shd w:val="clear" w:color="DDEBF7" w:fill="DDEBF7"/>
            <w:noWrap/>
            <w:vAlign w:val="bottom"/>
            <w:hideMark/>
          </w:tcPr>
          <w:p w14:paraId="6B9FFA4A" w14:textId="77777777" w:rsidR="004A61FA" w:rsidRPr="00795548" w:rsidRDefault="004A61FA" w:rsidP="004A61FA">
            <w:pPr>
              <w:widowControl/>
              <w:autoSpaceDE/>
              <w:autoSpaceDN/>
              <w:adjustRightInd/>
              <w:rPr>
                <w:rFonts w:eastAsia="Times New Roman" w:cs="Arial"/>
                <w:color w:val="000000"/>
                <w:szCs w:val="22"/>
              </w:rPr>
            </w:pPr>
            <w:r w:rsidRPr="00795548">
              <w:rPr>
                <w:rFonts w:eastAsia="Times New Roman" w:cs="Arial"/>
                <w:color w:val="000000"/>
                <w:szCs w:val="22"/>
              </w:rPr>
              <w:t>Department of Enterprise Services</w:t>
            </w:r>
          </w:p>
        </w:tc>
        <w:tc>
          <w:tcPr>
            <w:tcW w:w="1718" w:type="pct"/>
            <w:tcBorders>
              <w:top w:val="single" w:sz="4" w:space="0" w:color="9BC2E6"/>
              <w:left w:val="nil"/>
              <w:bottom w:val="single" w:sz="4" w:space="0" w:color="9BC2E6"/>
              <w:right w:val="single" w:sz="4" w:space="0" w:color="9BC2E6"/>
            </w:tcBorders>
            <w:shd w:val="clear" w:color="DDEBF7" w:fill="DDEBF7"/>
            <w:noWrap/>
            <w:vAlign w:val="bottom"/>
            <w:hideMark/>
          </w:tcPr>
          <w:p w14:paraId="7351D9DF" w14:textId="30053EB8" w:rsidR="004A61FA" w:rsidRPr="00795548"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16,291,374 </w:t>
            </w:r>
          </w:p>
        </w:tc>
      </w:tr>
      <w:tr w:rsidR="004A61FA" w:rsidRPr="00795548" w14:paraId="257715A5" w14:textId="77777777" w:rsidTr="004A61FA">
        <w:trPr>
          <w:trHeight w:val="285"/>
        </w:trPr>
        <w:tc>
          <w:tcPr>
            <w:tcW w:w="3282" w:type="pct"/>
            <w:tcBorders>
              <w:top w:val="single" w:sz="4" w:space="0" w:color="C9C9C9"/>
              <w:left w:val="single" w:sz="4" w:space="0" w:color="C9C9C9"/>
              <w:bottom w:val="single" w:sz="4" w:space="0" w:color="9BC2E6"/>
              <w:right w:val="nil"/>
            </w:tcBorders>
            <w:shd w:val="clear" w:color="auto" w:fill="auto"/>
            <w:noWrap/>
            <w:vAlign w:val="bottom"/>
            <w:hideMark/>
          </w:tcPr>
          <w:p w14:paraId="3DCDD56B" w14:textId="77777777" w:rsidR="004A61FA" w:rsidRPr="00795548" w:rsidRDefault="004A61FA" w:rsidP="004A61FA">
            <w:pPr>
              <w:widowControl/>
              <w:autoSpaceDE/>
              <w:autoSpaceDN/>
              <w:adjustRightInd/>
              <w:rPr>
                <w:rFonts w:eastAsia="Times New Roman" w:cs="Arial"/>
                <w:color w:val="000000"/>
                <w:szCs w:val="22"/>
              </w:rPr>
            </w:pPr>
            <w:r w:rsidRPr="00795548">
              <w:rPr>
                <w:rFonts w:eastAsia="Times New Roman" w:cs="Arial"/>
                <w:color w:val="000000"/>
                <w:szCs w:val="22"/>
              </w:rPr>
              <w:t>Department of Corrections</w:t>
            </w:r>
          </w:p>
        </w:tc>
        <w:tc>
          <w:tcPr>
            <w:tcW w:w="1718" w:type="pct"/>
            <w:tcBorders>
              <w:top w:val="single" w:sz="4" w:space="0" w:color="9BC2E6"/>
              <w:left w:val="nil"/>
              <w:bottom w:val="single" w:sz="4" w:space="0" w:color="9BC2E6"/>
              <w:right w:val="single" w:sz="4" w:space="0" w:color="9BC2E6"/>
            </w:tcBorders>
            <w:shd w:val="clear" w:color="auto" w:fill="auto"/>
            <w:noWrap/>
            <w:vAlign w:val="bottom"/>
            <w:hideMark/>
          </w:tcPr>
          <w:p w14:paraId="1C813FBE" w14:textId="5443EEB6" w:rsidR="004A61FA" w:rsidRPr="00795548"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13,965,744 </w:t>
            </w:r>
          </w:p>
        </w:tc>
      </w:tr>
      <w:tr w:rsidR="004A61FA" w:rsidRPr="00795548" w14:paraId="6A8E39BA" w14:textId="77777777" w:rsidTr="004A61FA">
        <w:trPr>
          <w:trHeight w:val="285"/>
        </w:trPr>
        <w:tc>
          <w:tcPr>
            <w:tcW w:w="3282" w:type="pct"/>
            <w:tcBorders>
              <w:top w:val="single" w:sz="4" w:space="0" w:color="9BC2E6"/>
              <w:left w:val="single" w:sz="4" w:space="0" w:color="9BC2E6"/>
              <w:bottom w:val="single" w:sz="4" w:space="0" w:color="9BC2E6"/>
              <w:right w:val="nil"/>
            </w:tcBorders>
            <w:shd w:val="clear" w:color="DDEBF7" w:fill="DDEBF7"/>
            <w:noWrap/>
            <w:vAlign w:val="bottom"/>
            <w:hideMark/>
          </w:tcPr>
          <w:p w14:paraId="64862891" w14:textId="77777777" w:rsidR="004A61FA" w:rsidRPr="00795548" w:rsidRDefault="004A61FA" w:rsidP="004A61FA">
            <w:pPr>
              <w:widowControl/>
              <w:autoSpaceDE/>
              <w:autoSpaceDN/>
              <w:adjustRightInd/>
              <w:rPr>
                <w:rFonts w:eastAsia="Times New Roman" w:cs="Arial"/>
                <w:color w:val="000000"/>
                <w:szCs w:val="22"/>
              </w:rPr>
            </w:pPr>
            <w:r w:rsidRPr="00795548">
              <w:rPr>
                <w:rFonts w:eastAsia="Times New Roman" w:cs="Arial"/>
                <w:color w:val="000000"/>
                <w:szCs w:val="22"/>
              </w:rPr>
              <w:t>University of Washington</w:t>
            </w:r>
          </w:p>
        </w:tc>
        <w:tc>
          <w:tcPr>
            <w:tcW w:w="1718" w:type="pct"/>
            <w:tcBorders>
              <w:top w:val="single" w:sz="4" w:space="0" w:color="9BC2E6"/>
              <w:left w:val="nil"/>
              <w:bottom w:val="single" w:sz="4" w:space="0" w:color="9BC2E6"/>
              <w:right w:val="single" w:sz="4" w:space="0" w:color="9BC2E6"/>
            </w:tcBorders>
            <w:shd w:val="clear" w:color="DDEBF7" w:fill="DDEBF7"/>
            <w:noWrap/>
            <w:vAlign w:val="bottom"/>
            <w:hideMark/>
          </w:tcPr>
          <w:p w14:paraId="09CF2369" w14:textId="4D299C1A" w:rsidR="004A61FA" w:rsidRPr="00795548"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10,482,232 </w:t>
            </w:r>
          </w:p>
        </w:tc>
      </w:tr>
      <w:tr w:rsidR="004A61FA" w:rsidRPr="00795548" w14:paraId="0B31186A" w14:textId="77777777" w:rsidTr="004A61FA">
        <w:trPr>
          <w:trHeight w:val="285"/>
        </w:trPr>
        <w:tc>
          <w:tcPr>
            <w:tcW w:w="3282" w:type="pct"/>
            <w:tcBorders>
              <w:top w:val="single" w:sz="4" w:space="0" w:color="9BC2E6"/>
              <w:left w:val="single" w:sz="4" w:space="0" w:color="9BC2E6"/>
              <w:bottom w:val="single" w:sz="4" w:space="0" w:color="9BC2E6"/>
              <w:right w:val="nil"/>
            </w:tcBorders>
            <w:shd w:val="clear" w:color="auto" w:fill="auto"/>
            <w:noWrap/>
            <w:vAlign w:val="bottom"/>
            <w:hideMark/>
          </w:tcPr>
          <w:p w14:paraId="6D497274" w14:textId="77777777" w:rsidR="004A61FA" w:rsidRPr="00795548" w:rsidRDefault="004A61FA" w:rsidP="004A61FA">
            <w:pPr>
              <w:widowControl/>
              <w:autoSpaceDE/>
              <w:autoSpaceDN/>
              <w:adjustRightInd/>
              <w:rPr>
                <w:rFonts w:eastAsia="Times New Roman" w:cs="Arial"/>
                <w:color w:val="000000"/>
                <w:szCs w:val="22"/>
              </w:rPr>
            </w:pPr>
            <w:r w:rsidRPr="00795548">
              <w:rPr>
                <w:rFonts w:eastAsia="Times New Roman" w:cs="Arial"/>
                <w:color w:val="000000"/>
                <w:szCs w:val="22"/>
              </w:rPr>
              <w:t>Department of Health</w:t>
            </w:r>
          </w:p>
        </w:tc>
        <w:tc>
          <w:tcPr>
            <w:tcW w:w="1718" w:type="pct"/>
            <w:tcBorders>
              <w:top w:val="single" w:sz="4" w:space="0" w:color="9BC2E6"/>
              <w:left w:val="nil"/>
              <w:bottom w:val="single" w:sz="4" w:space="0" w:color="9BC2E6"/>
              <w:right w:val="single" w:sz="4" w:space="0" w:color="9BC2E6"/>
            </w:tcBorders>
            <w:shd w:val="clear" w:color="auto" w:fill="auto"/>
            <w:noWrap/>
            <w:vAlign w:val="bottom"/>
            <w:hideMark/>
          </w:tcPr>
          <w:p w14:paraId="35B8BCD5" w14:textId="50565F12" w:rsidR="004A61FA" w:rsidRPr="00795548"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9,943,506 </w:t>
            </w:r>
          </w:p>
        </w:tc>
      </w:tr>
      <w:tr w:rsidR="004A61FA" w:rsidRPr="00795548" w14:paraId="715C653B" w14:textId="77777777" w:rsidTr="004A61FA">
        <w:trPr>
          <w:trHeight w:val="285"/>
        </w:trPr>
        <w:tc>
          <w:tcPr>
            <w:tcW w:w="3282" w:type="pct"/>
            <w:tcBorders>
              <w:top w:val="single" w:sz="4" w:space="0" w:color="9BC2E6"/>
              <w:left w:val="single" w:sz="4" w:space="0" w:color="9BC2E6"/>
              <w:bottom w:val="single" w:sz="4" w:space="0" w:color="9BC2E6"/>
              <w:right w:val="nil"/>
            </w:tcBorders>
            <w:shd w:val="clear" w:color="DDEBF7" w:fill="DDEBF7"/>
            <w:noWrap/>
            <w:vAlign w:val="bottom"/>
            <w:hideMark/>
          </w:tcPr>
          <w:p w14:paraId="75825699" w14:textId="77777777" w:rsidR="004A61FA" w:rsidRPr="00795548" w:rsidRDefault="004A61FA" w:rsidP="004A61FA">
            <w:pPr>
              <w:widowControl/>
              <w:autoSpaceDE/>
              <w:autoSpaceDN/>
              <w:adjustRightInd/>
              <w:rPr>
                <w:rFonts w:eastAsia="Times New Roman" w:cs="Arial"/>
                <w:color w:val="000000"/>
                <w:szCs w:val="22"/>
              </w:rPr>
            </w:pPr>
            <w:r w:rsidRPr="00795548">
              <w:rPr>
                <w:rFonts w:eastAsia="Times New Roman" w:cs="Arial"/>
                <w:color w:val="000000"/>
                <w:szCs w:val="22"/>
              </w:rPr>
              <w:t>Washington State Patrol</w:t>
            </w:r>
          </w:p>
        </w:tc>
        <w:tc>
          <w:tcPr>
            <w:tcW w:w="1718" w:type="pct"/>
            <w:tcBorders>
              <w:top w:val="single" w:sz="4" w:space="0" w:color="9BC2E6"/>
              <w:left w:val="nil"/>
              <w:bottom w:val="single" w:sz="4" w:space="0" w:color="9BC2E6"/>
              <w:right w:val="single" w:sz="4" w:space="0" w:color="9BC2E6"/>
            </w:tcBorders>
            <w:shd w:val="clear" w:color="DDEBF7" w:fill="DDEBF7"/>
            <w:noWrap/>
            <w:vAlign w:val="bottom"/>
            <w:hideMark/>
          </w:tcPr>
          <w:p w14:paraId="24411F59" w14:textId="1C8A1646" w:rsidR="004A61FA" w:rsidRPr="00795548"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9,315,910 </w:t>
            </w:r>
          </w:p>
        </w:tc>
      </w:tr>
      <w:tr w:rsidR="004A61FA" w:rsidRPr="00795548" w14:paraId="5EC795BF" w14:textId="77777777" w:rsidTr="004A61FA">
        <w:trPr>
          <w:trHeight w:val="285"/>
        </w:trPr>
        <w:tc>
          <w:tcPr>
            <w:tcW w:w="3282" w:type="pct"/>
            <w:tcBorders>
              <w:top w:val="single" w:sz="4" w:space="0" w:color="9BC2E6"/>
              <w:left w:val="single" w:sz="4" w:space="0" w:color="9BC2E6"/>
              <w:bottom w:val="single" w:sz="4" w:space="0" w:color="9BC2E6"/>
              <w:right w:val="nil"/>
            </w:tcBorders>
            <w:shd w:val="clear" w:color="auto" w:fill="auto"/>
            <w:noWrap/>
            <w:vAlign w:val="bottom"/>
            <w:hideMark/>
          </w:tcPr>
          <w:p w14:paraId="00A488B7" w14:textId="77777777" w:rsidR="004A61FA" w:rsidRPr="00795548" w:rsidRDefault="004A61FA" w:rsidP="004A61FA">
            <w:pPr>
              <w:widowControl/>
              <w:autoSpaceDE/>
              <w:autoSpaceDN/>
              <w:adjustRightInd/>
              <w:rPr>
                <w:rFonts w:eastAsia="Times New Roman" w:cs="Arial"/>
                <w:color w:val="000000"/>
                <w:szCs w:val="22"/>
              </w:rPr>
            </w:pPr>
            <w:r w:rsidRPr="00795548">
              <w:rPr>
                <w:rFonts w:eastAsia="Times New Roman" w:cs="Arial"/>
                <w:color w:val="000000"/>
                <w:szCs w:val="22"/>
              </w:rPr>
              <w:t>Office of the Attorney General</w:t>
            </w:r>
          </w:p>
        </w:tc>
        <w:tc>
          <w:tcPr>
            <w:tcW w:w="1718" w:type="pct"/>
            <w:tcBorders>
              <w:top w:val="single" w:sz="4" w:space="0" w:color="9BC2E6"/>
              <w:left w:val="nil"/>
              <w:bottom w:val="single" w:sz="4" w:space="0" w:color="9BC2E6"/>
              <w:right w:val="single" w:sz="4" w:space="0" w:color="9BC2E6"/>
            </w:tcBorders>
            <w:shd w:val="clear" w:color="auto" w:fill="auto"/>
            <w:noWrap/>
            <w:vAlign w:val="bottom"/>
            <w:hideMark/>
          </w:tcPr>
          <w:p w14:paraId="431D86C2" w14:textId="78854202" w:rsidR="004A61FA" w:rsidRPr="00795548"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9,121,204 </w:t>
            </w:r>
          </w:p>
        </w:tc>
      </w:tr>
    </w:tbl>
    <w:p w14:paraId="0D83ADA9" w14:textId="77777777" w:rsidR="006122AB" w:rsidRPr="008569EB" w:rsidRDefault="006122AB" w:rsidP="006122AB">
      <w:pPr>
        <w:jc w:val="both"/>
        <w:rPr>
          <w:rFonts w:cs="Arial"/>
          <w:b/>
          <w:szCs w:val="20"/>
        </w:rPr>
      </w:pPr>
      <w:r w:rsidRPr="004D3C9F">
        <w:rPr>
          <w:rFonts w:cs="Arial"/>
          <w:b/>
          <w:szCs w:val="20"/>
        </w:rPr>
        <w:lastRenderedPageBreak/>
        <w:t>Political Subdivisions and Qualified Non-Profits Summary</w:t>
      </w:r>
      <w:r w:rsidRPr="008569EB">
        <w:rPr>
          <w:rFonts w:cs="Arial"/>
          <w:b/>
          <w:szCs w:val="20"/>
        </w:rPr>
        <w:t xml:space="preserve"> </w:t>
      </w:r>
    </w:p>
    <w:p w14:paraId="0FA9DA2E" w14:textId="77777777" w:rsidR="006122AB" w:rsidRPr="000F697B" w:rsidRDefault="006122AB" w:rsidP="006122AB">
      <w:pPr>
        <w:jc w:val="both"/>
        <w:rPr>
          <w:rFonts w:cs="Arial"/>
          <w:b/>
          <w:szCs w:val="20"/>
        </w:rPr>
      </w:pPr>
    </w:p>
    <w:tbl>
      <w:tblPr>
        <w:tblW w:w="936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blBorders>
        <w:tblLook w:val="04A0" w:firstRow="1" w:lastRow="0" w:firstColumn="1" w:lastColumn="0" w:noHBand="0" w:noVBand="1"/>
      </w:tblPr>
      <w:tblGrid>
        <w:gridCol w:w="6115"/>
        <w:gridCol w:w="95"/>
        <w:gridCol w:w="3150"/>
      </w:tblGrid>
      <w:tr w:rsidR="0085352E" w:rsidRPr="000F697B" w14:paraId="598A038C" w14:textId="77777777" w:rsidTr="003E58F8">
        <w:trPr>
          <w:trHeight w:val="305"/>
        </w:trPr>
        <w:tc>
          <w:tcPr>
            <w:tcW w:w="6115" w:type="dxa"/>
            <w:shd w:val="clear" w:color="ED7D31" w:fill="ED7D31"/>
            <w:noWrap/>
            <w:vAlign w:val="bottom"/>
            <w:hideMark/>
          </w:tcPr>
          <w:p w14:paraId="0223C984" w14:textId="77777777" w:rsidR="0085352E" w:rsidRPr="000F697B" w:rsidRDefault="0085352E" w:rsidP="005D1AD8">
            <w:pPr>
              <w:widowControl/>
              <w:autoSpaceDE/>
              <w:autoSpaceDN/>
              <w:adjustRightInd/>
              <w:rPr>
                <w:rFonts w:eastAsia="Times New Roman" w:cs="Arial"/>
                <w:b/>
                <w:bCs/>
                <w:color w:val="FFFFFF"/>
                <w:szCs w:val="22"/>
              </w:rPr>
            </w:pPr>
            <w:r w:rsidRPr="000F697B">
              <w:rPr>
                <w:rFonts w:eastAsia="Times New Roman" w:cs="Arial"/>
                <w:b/>
                <w:bCs/>
                <w:color w:val="FFFFFF"/>
                <w:szCs w:val="22"/>
              </w:rPr>
              <w:t>Customer Name</w:t>
            </w:r>
          </w:p>
        </w:tc>
        <w:tc>
          <w:tcPr>
            <w:tcW w:w="3245" w:type="dxa"/>
            <w:gridSpan w:val="2"/>
            <w:shd w:val="clear" w:color="ED7D31" w:fill="ED7D31"/>
            <w:noWrap/>
            <w:vAlign w:val="bottom"/>
            <w:hideMark/>
          </w:tcPr>
          <w:p w14:paraId="31F68646" w14:textId="7ED8D137" w:rsidR="0085352E" w:rsidRPr="000F697B" w:rsidRDefault="0085352E" w:rsidP="003E58F8">
            <w:pPr>
              <w:widowControl/>
              <w:autoSpaceDE/>
              <w:autoSpaceDN/>
              <w:adjustRightInd/>
              <w:jc w:val="center"/>
              <w:rPr>
                <w:rFonts w:eastAsia="Times New Roman" w:cs="Arial"/>
                <w:b/>
                <w:bCs/>
                <w:color w:val="FFFFFF"/>
                <w:szCs w:val="22"/>
              </w:rPr>
            </w:pPr>
            <w:r w:rsidRPr="000F697B">
              <w:rPr>
                <w:rFonts w:eastAsia="Times New Roman" w:cs="Arial"/>
                <w:b/>
                <w:bCs/>
                <w:color w:val="FFFFFF"/>
                <w:szCs w:val="22"/>
              </w:rPr>
              <w:t>FY2</w:t>
            </w:r>
            <w:r w:rsidR="002D7C77">
              <w:rPr>
                <w:rFonts w:eastAsia="Times New Roman" w:cs="Arial"/>
                <w:b/>
                <w:bCs/>
                <w:color w:val="FFFFFF"/>
                <w:szCs w:val="22"/>
              </w:rPr>
              <w:t>1</w:t>
            </w:r>
            <w:r w:rsidRPr="000F697B">
              <w:rPr>
                <w:rFonts w:eastAsia="Times New Roman" w:cs="Arial"/>
                <w:b/>
                <w:bCs/>
                <w:color w:val="FFFFFF"/>
                <w:szCs w:val="22"/>
              </w:rPr>
              <w:t xml:space="preserve"> Master Contract Spend</w:t>
            </w:r>
          </w:p>
        </w:tc>
      </w:tr>
      <w:tr w:rsidR="004A61FA" w:rsidRPr="000F697B" w14:paraId="707205B7" w14:textId="77777777" w:rsidTr="002D7C77">
        <w:trPr>
          <w:trHeight w:val="277"/>
        </w:trPr>
        <w:tc>
          <w:tcPr>
            <w:tcW w:w="6210" w:type="dxa"/>
            <w:gridSpan w:val="2"/>
            <w:tcBorders>
              <w:top w:val="single" w:sz="4" w:space="0" w:color="F4B084"/>
              <w:left w:val="single" w:sz="4" w:space="0" w:color="F4B084"/>
              <w:bottom w:val="single" w:sz="4" w:space="0" w:color="F4B084"/>
              <w:right w:val="nil"/>
            </w:tcBorders>
            <w:shd w:val="clear" w:color="FCE4D6" w:fill="FCE4D6"/>
            <w:noWrap/>
            <w:vAlign w:val="bottom"/>
            <w:hideMark/>
          </w:tcPr>
          <w:p w14:paraId="1EB6F3B8" w14:textId="045F8964"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City of Seattle</w:t>
            </w:r>
          </w:p>
        </w:tc>
        <w:tc>
          <w:tcPr>
            <w:tcW w:w="3150" w:type="dxa"/>
            <w:tcBorders>
              <w:top w:val="single" w:sz="4" w:space="0" w:color="F4B084"/>
              <w:left w:val="nil"/>
              <w:bottom w:val="single" w:sz="4" w:space="0" w:color="F4B084"/>
              <w:right w:val="single" w:sz="4" w:space="0" w:color="F4B084"/>
            </w:tcBorders>
            <w:shd w:val="clear" w:color="FCE4D6" w:fill="FCE4D6"/>
            <w:noWrap/>
            <w:vAlign w:val="bottom"/>
            <w:hideMark/>
          </w:tcPr>
          <w:p w14:paraId="6BB095DC" w14:textId="2B424AFA"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21,448,284 </w:t>
            </w:r>
          </w:p>
        </w:tc>
      </w:tr>
      <w:tr w:rsidR="004A61FA" w:rsidRPr="000F697B" w14:paraId="0B367495" w14:textId="77777777" w:rsidTr="002D7C77">
        <w:trPr>
          <w:trHeight w:val="277"/>
        </w:trPr>
        <w:tc>
          <w:tcPr>
            <w:tcW w:w="6210" w:type="dxa"/>
            <w:gridSpan w:val="2"/>
            <w:tcBorders>
              <w:top w:val="single" w:sz="4" w:space="0" w:color="F4B084"/>
              <w:left w:val="single" w:sz="4" w:space="0" w:color="F4B084"/>
              <w:bottom w:val="single" w:sz="4" w:space="0" w:color="F4B084"/>
              <w:right w:val="nil"/>
            </w:tcBorders>
            <w:shd w:val="clear" w:color="auto" w:fill="auto"/>
            <w:noWrap/>
            <w:vAlign w:val="bottom"/>
            <w:hideMark/>
          </w:tcPr>
          <w:p w14:paraId="615233CA" w14:textId="2CD75C16"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King County</w:t>
            </w:r>
          </w:p>
        </w:tc>
        <w:tc>
          <w:tcPr>
            <w:tcW w:w="3150" w:type="dxa"/>
            <w:tcBorders>
              <w:top w:val="single" w:sz="4" w:space="0" w:color="F4B084"/>
              <w:left w:val="nil"/>
              <w:bottom w:val="single" w:sz="4" w:space="0" w:color="F4B084"/>
              <w:right w:val="single" w:sz="4" w:space="0" w:color="F4B084"/>
            </w:tcBorders>
            <w:shd w:val="clear" w:color="auto" w:fill="auto"/>
            <w:noWrap/>
            <w:vAlign w:val="bottom"/>
            <w:hideMark/>
          </w:tcPr>
          <w:p w14:paraId="2999C565" w14:textId="2943233A"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17,974,508 </w:t>
            </w:r>
          </w:p>
        </w:tc>
      </w:tr>
      <w:tr w:rsidR="004A61FA" w:rsidRPr="000F697B" w14:paraId="69A3EBBC" w14:textId="77777777" w:rsidTr="002D7C77">
        <w:trPr>
          <w:trHeight w:val="277"/>
        </w:trPr>
        <w:tc>
          <w:tcPr>
            <w:tcW w:w="6210" w:type="dxa"/>
            <w:gridSpan w:val="2"/>
            <w:tcBorders>
              <w:top w:val="single" w:sz="4" w:space="0" w:color="F4B084"/>
              <w:left w:val="single" w:sz="4" w:space="0" w:color="F4B084"/>
              <w:bottom w:val="single" w:sz="4" w:space="0" w:color="F4B084"/>
              <w:right w:val="nil"/>
            </w:tcBorders>
            <w:shd w:val="clear" w:color="FCE4D6" w:fill="FCE4D6"/>
            <w:noWrap/>
            <w:vAlign w:val="bottom"/>
            <w:hideMark/>
          </w:tcPr>
          <w:p w14:paraId="43233725" w14:textId="53329C4C"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Seattle School District 1</w:t>
            </w:r>
          </w:p>
        </w:tc>
        <w:tc>
          <w:tcPr>
            <w:tcW w:w="3150" w:type="dxa"/>
            <w:tcBorders>
              <w:top w:val="single" w:sz="4" w:space="0" w:color="F4B084"/>
              <w:left w:val="nil"/>
              <w:bottom w:val="single" w:sz="4" w:space="0" w:color="F4B084"/>
              <w:right w:val="single" w:sz="4" w:space="0" w:color="F4B084"/>
            </w:tcBorders>
            <w:shd w:val="clear" w:color="FCE4D6" w:fill="FCE4D6"/>
            <w:noWrap/>
            <w:vAlign w:val="bottom"/>
            <w:hideMark/>
          </w:tcPr>
          <w:p w14:paraId="39075711" w14:textId="0FAB29B6"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11,121,071 </w:t>
            </w:r>
          </w:p>
        </w:tc>
      </w:tr>
      <w:tr w:rsidR="004A61FA" w:rsidRPr="000F697B" w14:paraId="64CF6717" w14:textId="77777777" w:rsidTr="002D7C77">
        <w:trPr>
          <w:trHeight w:val="277"/>
        </w:trPr>
        <w:tc>
          <w:tcPr>
            <w:tcW w:w="6210" w:type="dxa"/>
            <w:gridSpan w:val="2"/>
            <w:tcBorders>
              <w:top w:val="single" w:sz="4" w:space="0" w:color="F4B084"/>
              <w:left w:val="single" w:sz="4" w:space="0" w:color="F4B084"/>
              <w:bottom w:val="single" w:sz="4" w:space="0" w:color="F4B084"/>
              <w:right w:val="nil"/>
            </w:tcBorders>
            <w:shd w:val="clear" w:color="auto" w:fill="auto"/>
            <w:noWrap/>
            <w:vAlign w:val="bottom"/>
            <w:hideMark/>
          </w:tcPr>
          <w:p w14:paraId="50976CDA" w14:textId="66DE6E41"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Bellevue School District 405</w:t>
            </w:r>
          </w:p>
        </w:tc>
        <w:tc>
          <w:tcPr>
            <w:tcW w:w="3150" w:type="dxa"/>
            <w:tcBorders>
              <w:top w:val="single" w:sz="4" w:space="0" w:color="F4B084"/>
              <w:left w:val="nil"/>
              <w:bottom w:val="single" w:sz="4" w:space="0" w:color="F4B084"/>
              <w:right w:val="single" w:sz="4" w:space="0" w:color="F4B084"/>
            </w:tcBorders>
            <w:shd w:val="clear" w:color="auto" w:fill="auto"/>
            <w:noWrap/>
            <w:vAlign w:val="bottom"/>
            <w:hideMark/>
          </w:tcPr>
          <w:p w14:paraId="5C37D411" w14:textId="346BE317"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10,950,754 </w:t>
            </w:r>
          </w:p>
        </w:tc>
      </w:tr>
      <w:tr w:rsidR="004A61FA" w:rsidRPr="000F697B" w14:paraId="69B935C5" w14:textId="77777777" w:rsidTr="002D7C77">
        <w:trPr>
          <w:trHeight w:val="277"/>
        </w:trPr>
        <w:tc>
          <w:tcPr>
            <w:tcW w:w="6210" w:type="dxa"/>
            <w:gridSpan w:val="2"/>
            <w:tcBorders>
              <w:top w:val="single" w:sz="4" w:space="0" w:color="F4B084"/>
              <w:left w:val="single" w:sz="4" w:space="0" w:color="F4B084"/>
              <w:bottom w:val="single" w:sz="4" w:space="0" w:color="F4B084"/>
              <w:right w:val="nil"/>
            </w:tcBorders>
            <w:shd w:val="clear" w:color="FCE4D6" w:fill="FCE4D6"/>
            <w:noWrap/>
            <w:vAlign w:val="bottom"/>
            <w:hideMark/>
          </w:tcPr>
          <w:p w14:paraId="03B2D22C" w14:textId="5DCB9B2E"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Seattle Sound Transit</w:t>
            </w:r>
          </w:p>
        </w:tc>
        <w:tc>
          <w:tcPr>
            <w:tcW w:w="3150" w:type="dxa"/>
            <w:tcBorders>
              <w:top w:val="single" w:sz="4" w:space="0" w:color="F4B084"/>
              <w:left w:val="nil"/>
              <w:bottom w:val="single" w:sz="4" w:space="0" w:color="F4B084"/>
              <w:right w:val="single" w:sz="4" w:space="0" w:color="F4B084"/>
            </w:tcBorders>
            <w:shd w:val="clear" w:color="FCE4D6" w:fill="FCE4D6"/>
            <w:noWrap/>
            <w:vAlign w:val="bottom"/>
            <w:hideMark/>
          </w:tcPr>
          <w:p w14:paraId="7E359C46" w14:textId="29F3B722"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9,062,377 </w:t>
            </w:r>
          </w:p>
        </w:tc>
      </w:tr>
      <w:tr w:rsidR="004A61FA" w:rsidRPr="000F697B" w14:paraId="7C68C680" w14:textId="77777777" w:rsidTr="002D7C77">
        <w:trPr>
          <w:trHeight w:val="252"/>
        </w:trPr>
        <w:tc>
          <w:tcPr>
            <w:tcW w:w="6210" w:type="dxa"/>
            <w:gridSpan w:val="2"/>
            <w:tcBorders>
              <w:top w:val="single" w:sz="4" w:space="0" w:color="F4B084"/>
              <w:left w:val="single" w:sz="4" w:space="0" w:color="F4B084"/>
              <w:bottom w:val="single" w:sz="4" w:space="0" w:color="F4B084"/>
              <w:right w:val="nil"/>
            </w:tcBorders>
            <w:shd w:val="clear" w:color="auto" w:fill="auto"/>
            <w:noWrap/>
            <w:vAlign w:val="bottom"/>
            <w:hideMark/>
          </w:tcPr>
          <w:p w14:paraId="0150A8A7" w14:textId="48B67EEA"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Snohomish County PUD</w:t>
            </w:r>
          </w:p>
        </w:tc>
        <w:tc>
          <w:tcPr>
            <w:tcW w:w="3150" w:type="dxa"/>
            <w:tcBorders>
              <w:top w:val="single" w:sz="4" w:space="0" w:color="F4B084"/>
              <w:left w:val="nil"/>
              <w:bottom w:val="single" w:sz="4" w:space="0" w:color="F4B084"/>
              <w:right w:val="single" w:sz="4" w:space="0" w:color="F4B084"/>
            </w:tcBorders>
            <w:shd w:val="clear" w:color="auto" w:fill="auto"/>
            <w:noWrap/>
            <w:vAlign w:val="bottom"/>
            <w:hideMark/>
          </w:tcPr>
          <w:p w14:paraId="0E62B93B" w14:textId="05C55BA9"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5,254,634 </w:t>
            </w:r>
          </w:p>
        </w:tc>
      </w:tr>
      <w:tr w:rsidR="004A61FA" w:rsidRPr="000F697B" w14:paraId="74A78325" w14:textId="77777777" w:rsidTr="002D7C77">
        <w:trPr>
          <w:trHeight w:val="277"/>
        </w:trPr>
        <w:tc>
          <w:tcPr>
            <w:tcW w:w="6210" w:type="dxa"/>
            <w:gridSpan w:val="2"/>
            <w:tcBorders>
              <w:top w:val="single" w:sz="4" w:space="0" w:color="F4B084"/>
              <w:left w:val="single" w:sz="4" w:space="0" w:color="F4B084"/>
              <w:bottom w:val="single" w:sz="4" w:space="0" w:color="F4B084"/>
              <w:right w:val="nil"/>
            </w:tcBorders>
            <w:shd w:val="clear" w:color="FCE4D6" w:fill="FCE4D6"/>
            <w:noWrap/>
            <w:vAlign w:val="bottom"/>
            <w:hideMark/>
          </w:tcPr>
          <w:p w14:paraId="5A941F70" w14:textId="66BF4592"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City of Tacoma</w:t>
            </w:r>
          </w:p>
        </w:tc>
        <w:tc>
          <w:tcPr>
            <w:tcW w:w="3150" w:type="dxa"/>
            <w:tcBorders>
              <w:top w:val="single" w:sz="4" w:space="0" w:color="F4B084"/>
              <w:left w:val="nil"/>
              <w:bottom w:val="single" w:sz="4" w:space="0" w:color="F4B084"/>
              <w:right w:val="single" w:sz="4" w:space="0" w:color="F4B084"/>
            </w:tcBorders>
            <w:shd w:val="clear" w:color="FCE4D6" w:fill="FCE4D6"/>
            <w:noWrap/>
            <w:vAlign w:val="bottom"/>
            <w:hideMark/>
          </w:tcPr>
          <w:p w14:paraId="7F86E260" w14:textId="7F5A20BB"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5,144,912 </w:t>
            </w:r>
          </w:p>
        </w:tc>
      </w:tr>
      <w:tr w:rsidR="004A61FA" w:rsidRPr="000F697B" w14:paraId="09CE8D4A" w14:textId="77777777" w:rsidTr="002D7C77">
        <w:trPr>
          <w:trHeight w:val="277"/>
        </w:trPr>
        <w:tc>
          <w:tcPr>
            <w:tcW w:w="6210" w:type="dxa"/>
            <w:gridSpan w:val="2"/>
            <w:tcBorders>
              <w:top w:val="single" w:sz="4" w:space="0" w:color="F4B084"/>
              <w:left w:val="single" w:sz="4" w:space="0" w:color="F4B084"/>
              <w:bottom w:val="single" w:sz="4" w:space="0" w:color="F4B084"/>
              <w:right w:val="nil"/>
            </w:tcBorders>
            <w:shd w:val="clear" w:color="auto" w:fill="auto"/>
            <w:noWrap/>
            <w:vAlign w:val="bottom"/>
            <w:hideMark/>
          </w:tcPr>
          <w:p w14:paraId="595F0F76" w14:textId="01937E35"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Lake Washington School District 414</w:t>
            </w:r>
          </w:p>
        </w:tc>
        <w:tc>
          <w:tcPr>
            <w:tcW w:w="3150" w:type="dxa"/>
            <w:tcBorders>
              <w:top w:val="single" w:sz="4" w:space="0" w:color="F4B084"/>
              <w:left w:val="nil"/>
              <w:bottom w:val="single" w:sz="4" w:space="0" w:color="F4B084"/>
              <w:right w:val="single" w:sz="4" w:space="0" w:color="F4B084"/>
            </w:tcBorders>
            <w:shd w:val="clear" w:color="auto" w:fill="auto"/>
            <w:noWrap/>
            <w:vAlign w:val="bottom"/>
            <w:hideMark/>
          </w:tcPr>
          <w:p w14:paraId="2EE106CC" w14:textId="3FA6AAEF"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4,950,982 </w:t>
            </w:r>
          </w:p>
        </w:tc>
      </w:tr>
      <w:tr w:rsidR="004A61FA" w:rsidRPr="000F697B" w14:paraId="09642315" w14:textId="77777777" w:rsidTr="002D7C77">
        <w:trPr>
          <w:trHeight w:val="277"/>
        </w:trPr>
        <w:tc>
          <w:tcPr>
            <w:tcW w:w="6210" w:type="dxa"/>
            <w:gridSpan w:val="2"/>
            <w:tcBorders>
              <w:top w:val="single" w:sz="4" w:space="0" w:color="F4B084"/>
              <w:left w:val="single" w:sz="4" w:space="0" w:color="F4B084"/>
              <w:bottom w:val="single" w:sz="4" w:space="0" w:color="F4B084"/>
              <w:right w:val="nil"/>
            </w:tcBorders>
            <w:shd w:val="clear" w:color="FCE4D6" w:fill="FCE4D6"/>
            <w:noWrap/>
            <w:vAlign w:val="bottom"/>
            <w:hideMark/>
          </w:tcPr>
          <w:p w14:paraId="540F06CE" w14:textId="41C83B3F"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Central Valley School District 356</w:t>
            </w:r>
          </w:p>
        </w:tc>
        <w:tc>
          <w:tcPr>
            <w:tcW w:w="3150" w:type="dxa"/>
            <w:tcBorders>
              <w:top w:val="single" w:sz="4" w:space="0" w:color="F4B084"/>
              <w:left w:val="nil"/>
              <w:bottom w:val="single" w:sz="4" w:space="0" w:color="F4B084"/>
              <w:right w:val="single" w:sz="4" w:space="0" w:color="F4B084"/>
            </w:tcBorders>
            <w:shd w:val="clear" w:color="FCE4D6" w:fill="FCE4D6"/>
            <w:noWrap/>
            <w:vAlign w:val="bottom"/>
            <w:hideMark/>
          </w:tcPr>
          <w:p w14:paraId="5F84EC25" w14:textId="77F8562F"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4,318,309 </w:t>
            </w:r>
          </w:p>
        </w:tc>
      </w:tr>
      <w:tr w:rsidR="004A61FA" w:rsidRPr="000F697B" w14:paraId="5CA1A6DF" w14:textId="77777777" w:rsidTr="002D7C77">
        <w:trPr>
          <w:trHeight w:val="277"/>
        </w:trPr>
        <w:tc>
          <w:tcPr>
            <w:tcW w:w="6210" w:type="dxa"/>
            <w:gridSpan w:val="2"/>
            <w:tcBorders>
              <w:top w:val="single" w:sz="4" w:space="0" w:color="F4B084"/>
              <w:left w:val="single" w:sz="4" w:space="0" w:color="F4B084"/>
              <w:bottom w:val="single" w:sz="4" w:space="0" w:color="F4B084"/>
              <w:right w:val="nil"/>
            </w:tcBorders>
            <w:shd w:val="clear" w:color="auto" w:fill="auto"/>
            <w:noWrap/>
            <w:vAlign w:val="bottom"/>
            <w:hideMark/>
          </w:tcPr>
          <w:p w14:paraId="61A295B9" w14:textId="5B67171B"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Highline School District 401</w:t>
            </w:r>
          </w:p>
        </w:tc>
        <w:tc>
          <w:tcPr>
            <w:tcW w:w="3150" w:type="dxa"/>
            <w:tcBorders>
              <w:top w:val="single" w:sz="4" w:space="0" w:color="F4B084"/>
              <w:left w:val="nil"/>
              <w:bottom w:val="single" w:sz="4" w:space="0" w:color="F4B084"/>
              <w:right w:val="single" w:sz="4" w:space="0" w:color="F4B084"/>
            </w:tcBorders>
            <w:shd w:val="clear" w:color="auto" w:fill="auto"/>
            <w:noWrap/>
            <w:vAlign w:val="bottom"/>
            <w:hideMark/>
          </w:tcPr>
          <w:p w14:paraId="3556C3C8" w14:textId="0D0F2E3B"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4,255,784 </w:t>
            </w:r>
          </w:p>
        </w:tc>
      </w:tr>
    </w:tbl>
    <w:p w14:paraId="51EDA281" w14:textId="77777777" w:rsidR="00657788" w:rsidRDefault="00657788" w:rsidP="006122AB">
      <w:pPr>
        <w:rPr>
          <w:rFonts w:cs="Arial"/>
          <w:b/>
          <w:szCs w:val="20"/>
        </w:rPr>
      </w:pPr>
    </w:p>
    <w:p w14:paraId="25FECBFC" w14:textId="39281656" w:rsidR="006122AB" w:rsidRPr="008569EB" w:rsidRDefault="00795548" w:rsidP="006122AB">
      <w:pPr>
        <w:rPr>
          <w:rFonts w:cs="Arial"/>
          <w:b/>
          <w:szCs w:val="20"/>
        </w:rPr>
      </w:pPr>
      <w:r>
        <w:rPr>
          <w:rFonts w:cs="Arial"/>
          <w:b/>
          <w:szCs w:val="20"/>
        </w:rPr>
        <w:t xml:space="preserve">FY21 </w:t>
      </w:r>
      <w:r w:rsidR="006122AB" w:rsidRPr="008569EB">
        <w:rPr>
          <w:rFonts w:cs="Arial"/>
          <w:b/>
          <w:szCs w:val="20"/>
        </w:rPr>
        <w:t>Top 10 IT Vendors by Master Contract Spend</w:t>
      </w:r>
    </w:p>
    <w:p w14:paraId="3AE45678" w14:textId="77777777" w:rsidR="006122AB" w:rsidRPr="008569EB" w:rsidRDefault="006122AB" w:rsidP="006122AB">
      <w:pPr>
        <w:rPr>
          <w:rFonts w:cs="Arial"/>
          <w:b/>
          <w:szCs w:val="20"/>
        </w:rPr>
      </w:pPr>
    </w:p>
    <w:p w14:paraId="64D5FDDA" w14:textId="77777777" w:rsidR="006122AB" w:rsidRPr="000F697B" w:rsidRDefault="006122AB" w:rsidP="006122AB">
      <w:pPr>
        <w:rPr>
          <w:rFonts w:cs="Arial"/>
          <w:szCs w:val="20"/>
        </w:rPr>
      </w:pPr>
      <w:r w:rsidRPr="000F697B">
        <w:rPr>
          <w:rFonts w:cs="Arial"/>
          <w:b/>
          <w:szCs w:val="20"/>
        </w:rPr>
        <w:t>All Customer Summary</w:t>
      </w:r>
      <w:r w:rsidRPr="000F697B">
        <w:rPr>
          <w:rFonts w:cs="Arial"/>
          <w:szCs w:val="20"/>
        </w:rPr>
        <w:t xml:space="preserve"> </w:t>
      </w:r>
    </w:p>
    <w:p w14:paraId="0078803F" w14:textId="77777777" w:rsidR="006122AB" w:rsidRPr="000F697B" w:rsidRDefault="006122AB" w:rsidP="006122AB">
      <w:pPr>
        <w:rPr>
          <w:rFonts w:cs="Arial"/>
          <w:szCs w:val="20"/>
        </w:rPr>
      </w:pPr>
    </w:p>
    <w:tbl>
      <w:tblPr>
        <w:tblW w:w="9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6115"/>
        <w:gridCol w:w="3245"/>
      </w:tblGrid>
      <w:tr w:rsidR="008D1A0C" w:rsidRPr="000F697B" w14:paraId="2D59968D" w14:textId="77777777" w:rsidTr="003E58F8">
        <w:trPr>
          <w:trHeight w:val="260"/>
        </w:trPr>
        <w:tc>
          <w:tcPr>
            <w:tcW w:w="6115" w:type="dxa"/>
            <w:shd w:val="clear" w:color="A5A5A5" w:fill="A5A5A5"/>
            <w:noWrap/>
            <w:vAlign w:val="bottom"/>
            <w:hideMark/>
          </w:tcPr>
          <w:p w14:paraId="29DCA184" w14:textId="77777777" w:rsidR="008D1A0C" w:rsidRPr="000F697B" w:rsidRDefault="008D1A0C" w:rsidP="005D1AD8">
            <w:pPr>
              <w:widowControl/>
              <w:autoSpaceDE/>
              <w:autoSpaceDN/>
              <w:adjustRightInd/>
              <w:rPr>
                <w:rFonts w:eastAsia="Times New Roman" w:cs="Arial"/>
                <w:b/>
                <w:bCs/>
                <w:color w:val="FFFFFF"/>
                <w:szCs w:val="22"/>
              </w:rPr>
            </w:pPr>
            <w:r w:rsidRPr="000F697B">
              <w:rPr>
                <w:rFonts w:eastAsia="Times New Roman" w:cs="Arial"/>
                <w:b/>
                <w:bCs/>
                <w:color w:val="FFFFFF"/>
                <w:szCs w:val="22"/>
              </w:rPr>
              <w:t>Vendor Name</w:t>
            </w:r>
          </w:p>
        </w:tc>
        <w:tc>
          <w:tcPr>
            <w:tcW w:w="3245" w:type="dxa"/>
            <w:shd w:val="clear" w:color="A5A5A5" w:fill="A5A5A5"/>
            <w:noWrap/>
            <w:vAlign w:val="bottom"/>
            <w:hideMark/>
          </w:tcPr>
          <w:p w14:paraId="102D1A60" w14:textId="23971152" w:rsidR="008D1A0C" w:rsidRPr="000F697B" w:rsidRDefault="008D1A0C" w:rsidP="003E58F8">
            <w:pPr>
              <w:widowControl/>
              <w:autoSpaceDE/>
              <w:autoSpaceDN/>
              <w:adjustRightInd/>
              <w:jc w:val="center"/>
              <w:rPr>
                <w:rFonts w:eastAsia="Times New Roman" w:cs="Arial"/>
                <w:b/>
                <w:bCs/>
                <w:color w:val="FFFFFF"/>
                <w:szCs w:val="22"/>
              </w:rPr>
            </w:pPr>
            <w:r w:rsidRPr="000F697B">
              <w:rPr>
                <w:rFonts w:eastAsia="Times New Roman" w:cs="Arial"/>
                <w:b/>
                <w:bCs/>
                <w:color w:val="FFFFFF"/>
                <w:szCs w:val="22"/>
              </w:rPr>
              <w:t>FY2</w:t>
            </w:r>
            <w:r w:rsidR="003773DC">
              <w:rPr>
                <w:rFonts w:eastAsia="Times New Roman" w:cs="Arial"/>
                <w:b/>
                <w:bCs/>
                <w:color w:val="FFFFFF"/>
                <w:szCs w:val="22"/>
              </w:rPr>
              <w:t>1</w:t>
            </w:r>
            <w:r w:rsidRPr="000F697B">
              <w:rPr>
                <w:rFonts w:eastAsia="Times New Roman" w:cs="Arial"/>
                <w:b/>
                <w:bCs/>
                <w:color w:val="FFFFFF"/>
                <w:szCs w:val="22"/>
              </w:rPr>
              <w:t xml:space="preserve"> Master Contract Spend</w:t>
            </w:r>
          </w:p>
        </w:tc>
      </w:tr>
      <w:tr w:rsidR="004A61FA" w:rsidRPr="000F697B" w14:paraId="769E93D1" w14:textId="77777777" w:rsidTr="003E58F8">
        <w:trPr>
          <w:trHeight w:val="260"/>
        </w:trPr>
        <w:tc>
          <w:tcPr>
            <w:tcW w:w="6115" w:type="dxa"/>
            <w:tcBorders>
              <w:top w:val="single" w:sz="4" w:space="0" w:color="C9C9C9"/>
              <w:left w:val="single" w:sz="4" w:space="0" w:color="C9C9C9"/>
              <w:bottom w:val="single" w:sz="4" w:space="0" w:color="C9C9C9"/>
              <w:right w:val="nil"/>
            </w:tcBorders>
            <w:shd w:val="clear" w:color="EDEDED" w:fill="EDEDED"/>
            <w:noWrap/>
            <w:vAlign w:val="bottom"/>
            <w:hideMark/>
          </w:tcPr>
          <w:p w14:paraId="60F16DDC" w14:textId="6A105C8A"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Dell</w:t>
            </w:r>
          </w:p>
        </w:tc>
        <w:tc>
          <w:tcPr>
            <w:tcW w:w="3245" w:type="dxa"/>
            <w:tcBorders>
              <w:top w:val="single" w:sz="4" w:space="0" w:color="C9C9C9"/>
              <w:left w:val="nil"/>
              <w:bottom w:val="single" w:sz="4" w:space="0" w:color="C9C9C9"/>
              <w:right w:val="single" w:sz="4" w:space="0" w:color="C9C9C9"/>
            </w:tcBorders>
            <w:shd w:val="clear" w:color="EDEDED" w:fill="EDEDED"/>
            <w:noWrap/>
            <w:vAlign w:val="bottom"/>
            <w:hideMark/>
          </w:tcPr>
          <w:p w14:paraId="29106FD2" w14:textId="1A6D494E"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108,245,066 </w:t>
            </w:r>
          </w:p>
        </w:tc>
      </w:tr>
      <w:tr w:rsidR="004A61FA" w:rsidRPr="000F697B" w14:paraId="44A1BE47" w14:textId="77777777" w:rsidTr="003E58F8">
        <w:trPr>
          <w:trHeight w:val="260"/>
        </w:trPr>
        <w:tc>
          <w:tcPr>
            <w:tcW w:w="6115" w:type="dxa"/>
            <w:tcBorders>
              <w:top w:val="single" w:sz="4" w:space="0" w:color="C9C9C9"/>
              <w:left w:val="single" w:sz="4" w:space="0" w:color="C9C9C9"/>
              <w:bottom w:val="single" w:sz="4" w:space="0" w:color="C9C9C9"/>
              <w:right w:val="nil"/>
            </w:tcBorders>
            <w:shd w:val="clear" w:color="auto" w:fill="auto"/>
            <w:noWrap/>
            <w:vAlign w:val="bottom"/>
            <w:hideMark/>
          </w:tcPr>
          <w:p w14:paraId="3C99B289" w14:textId="62717438"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SHI International Corp</w:t>
            </w:r>
          </w:p>
        </w:tc>
        <w:tc>
          <w:tcPr>
            <w:tcW w:w="3245" w:type="dxa"/>
            <w:tcBorders>
              <w:top w:val="single" w:sz="4" w:space="0" w:color="C9C9C9"/>
              <w:left w:val="nil"/>
              <w:bottom w:val="single" w:sz="4" w:space="0" w:color="C9C9C9"/>
              <w:right w:val="single" w:sz="4" w:space="0" w:color="C9C9C9"/>
            </w:tcBorders>
            <w:shd w:val="clear" w:color="auto" w:fill="auto"/>
            <w:noWrap/>
            <w:vAlign w:val="bottom"/>
            <w:hideMark/>
          </w:tcPr>
          <w:p w14:paraId="6F63041D" w14:textId="6DA1EDD4"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61,646,899 </w:t>
            </w:r>
          </w:p>
        </w:tc>
      </w:tr>
      <w:tr w:rsidR="004A61FA" w:rsidRPr="000F697B" w14:paraId="11153FF1" w14:textId="77777777" w:rsidTr="003E58F8">
        <w:trPr>
          <w:trHeight w:val="260"/>
        </w:trPr>
        <w:tc>
          <w:tcPr>
            <w:tcW w:w="6115" w:type="dxa"/>
            <w:tcBorders>
              <w:top w:val="single" w:sz="4" w:space="0" w:color="C9C9C9"/>
              <w:left w:val="single" w:sz="4" w:space="0" w:color="C9C9C9"/>
              <w:bottom w:val="single" w:sz="4" w:space="0" w:color="C9C9C9"/>
              <w:right w:val="nil"/>
            </w:tcBorders>
            <w:shd w:val="clear" w:color="EDEDED" w:fill="EDEDED"/>
            <w:noWrap/>
            <w:vAlign w:val="bottom"/>
            <w:hideMark/>
          </w:tcPr>
          <w:p w14:paraId="0C0D7972" w14:textId="7782EDFB"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HP Inc.</w:t>
            </w:r>
          </w:p>
        </w:tc>
        <w:tc>
          <w:tcPr>
            <w:tcW w:w="3245" w:type="dxa"/>
            <w:tcBorders>
              <w:top w:val="single" w:sz="4" w:space="0" w:color="C9C9C9"/>
              <w:left w:val="nil"/>
              <w:bottom w:val="single" w:sz="4" w:space="0" w:color="C9C9C9"/>
              <w:right w:val="single" w:sz="4" w:space="0" w:color="C9C9C9"/>
            </w:tcBorders>
            <w:shd w:val="clear" w:color="EDEDED" w:fill="EDEDED"/>
            <w:noWrap/>
            <w:vAlign w:val="bottom"/>
            <w:hideMark/>
          </w:tcPr>
          <w:p w14:paraId="7BF8C11C" w14:textId="782DDC91"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52,887,916 </w:t>
            </w:r>
          </w:p>
        </w:tc>
      </w:tr>
      <w:tr w:rsidR="004A61FA" w:rsidRPr="000F697B" w14:paraId="0498A89A" w14:textId="77777777" w:rsidTr="003E58F8">
        <w:trPr>
          <w:trHeight w:val="260"/>
        </w:trPr>
        <w:tc>
          <w:tcPr>
            <w:tcW w:w="6115" w:type="dxa"/>
            <w:tcBorders>
              <w:top w:val="single" w:sz="4" w:space="0" w:color="C9C9C9"/>
              <w:left w:val="single" w:sz="4" w:space="0" w:color="C9C9C9"/>
              <w:bottom w:val="single" w:sz="4" w:space="0" w:color="C9C9C9"/>
              <w:right w:val="nil"/>
            </w:tcBorders>
            <w:shd w:val="clear" w:color="auto" w:fill="auto"/>
            <w:noWrap/>
            <w:vAlign w:val="bottom"/>
            <w:hideMark/>
          </w:tcPr>
          <w:p w14:paraId="7742C243" w14:textId="7CC6090F"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Verizon Wireless</w:t>
            </w:r>
          </w:p>
        </w:tc>
        <w:tc>
          <w:tcPr>
            <w:tcW w:w="3245" w:type="dxa"/>
            <w:tcBorders>
              <w:top w:val="single" w:sz="4" w:space="0" w:color="C9C9C9"/>
              <w:left w:val="nil"/>
              <w:bottom w:val="single" w:sz="4" w:space="0" w:color="C9C9C9"/>
              <w:right w:val="single" w:sz="4" w:space="0" w:color="C9C9C9"/>
            </w:tcBorders>
            <w:shd w:val="clear" w:color="auto" w:fill="auto"/>
            <w:noWrap/>
            <w:vAlign w:val="bottom"/>
            <w:hideMark/>
          </w:tcPr>
          <w:p w14:paraId="572369A4" w14:textId="12739EF0"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47,334,904 </w:t>
            </w:r>
          </w:p>
        </w:tc>
      </w:tr>
      <w:tr w:rsidR="004A61FA" w:rsidRPr="000F697B" w14:paraId="21F96BC9" w14:textId="77777777" w:rsidTr="003E58F8">
        <w:trPr>
          <w:trHeight w:val="260"/>
        </w:trPr>
        <w:tc>
          <w:tcPr>
            <w:tcW w:w="6115" w:type="dxa"/>
            <w:tcBorders>
              <w:top w:val="single" w:sz="4" w:space="0" w:color="C9C9C9"/>
              <w:left w:val="single" w:sz="4" w:space="0" w:color="C9C9C9"/>
              <w:bottom w:val="single" w:sz="4" w:space="0" w:color="C9C9C9"/>
              <w:right w:val="nil"/>
            </w:tcBorders>
            <w:shd w:val="clear" w:color="EDEDED" w:fill="EDEDED"/>
            <w:noWrap/>
            <w:vAlign w:val="bottom"/>
            <w:hideMark/>
          </w:tcPr>
          <w:p w14:paraId="6F88BE43" w14:textId="0904EA40"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Cisco Systems, Inc.</w:t>
            </w:r>
          </w:p>
        </w:tc>
        <w:tc>
          <w:tcPr>
            <w:tcW w:w="3245" w:type="dxa"/>
            <w:tcBorders>
              <w:top w:val="single" w:sz="4" w:space="0" w:color="C9C9C9"/>
              <w:left w:val="nil"/>
              <w:bottom w:val="single" w:sz="4" w:space="0" w:color="C9C9C9"/>
              <w:right w:val="single" w:sz="4" w:space="0" w:color="C9C9C9"/>
            </w:tcBorders>
            <w:shd w:val="clear" w:color="EDEDED" w:fill="EDEDED"/>
            <w:noWrap/>
            <w:vAlign w:val="bottom"/>
            <w:hideMark/>
          </w:tcPr>
          <w:p w14:paraId="6BF7F185" w14:textId="78A52531"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32,732,150 </w:t>
            </w:r>
          </w:p>
        </w:tc>
      </w:tr>
      <w:tr w:rsidR="004A61FA" w:rsidRPr="000F697B" w14:paraId="2CD82C82" w14:textId="77777777" w:rsidTr="003E58F8">
        <w:trPr>
          <w:trHeight w:val="260"/>
        </w:trPr>
        <w:tc>
          <w:tcPr>
            <w:tcW w:w="6115" w:type="dxa"/>
            <w:tcBorders>
              <w:top w:val="single" w:sz="4" w:space="0" w:color="C9C9C9"/>
              <w:left w:val="single" w:sz="4" w:space="0" w:color="C9C9C9"/>
              <w:bottom w:val="single" w:sz="4" w:space="0" w:color="C9C9C9"/>
              <w:right w:val="nil"/>
            </w:tcBorders>
            <w:shd w:val="clear" w:color="auto" w:fill="auto"/>
            <w:noWrap/>
            <w:vAlign w:val="bottom"/>
            <w:hideMark/>
          </w:tcPr>
          <w:p w14:paraId="78A8CA38" w14:textId="1A0AF21C"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Insight Public Sector, Inc.</w:t>
            </w:r>
          </w:p>
        </w:tc>
        <w:tc>
          <w:tcPr>
            <w:tcW w:w="3245" w:type="dxa"/>
            <w:tcBorders>
              <w:top w:val="single" w:sz="4" w:space="0" w:color="C9C9C9"/>
              <w:left w:val="nil"/>
              <w:bottom w:val="single" w:sz="4" w:space="0" w:color="C9C9C9"/>
              <w:right w:val="single" w:sz="4" w:space="0" w:color="C9C9C9"/>
            </w:tcBorders>
            <w:shd w:val="clear" w:color="auto" w:fill="auto"/>
            <w:noWrap/>
            <w:vAlign w:val="bottom"/>
            <w:hideMark/>
          </w:tcPr>
          <w:p w14:paraId="7E62BC21" w14:textId="7290B7FE"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31,556,669 </w:t>
            </w:r>
          </w:p>
        </w:tc>
      </w:tr>
      <w:tr w:rsidR="004A61FA" w:rsidRPr="000F697B" w14:paraId="194C34BF" w14:textId="77777777" w:rsidTr="003E58F8">
        <w:trPr>
          <w:trHeight w:val="260"/>
        </w:trPr>
        <w:tc>
          <w:tcPr>
            <w:tcW w:w="6115" w:type="dxa"/>
            <w:tcBorders>
              <w:top w:val="single" w:sz="4" w:space="0" w:color="C9C9C9"/>
              <w:left w:val="single" w:sz="4" w:space="0" w:color="C9C9C9"/>
              <w:bottom w:val="single" w:sz="4" w:space="0" w:color="C9C9C9"/>
              <w:right w:val="nil"/>
            </w:tcBorders>
            <w:shd w:val="clear" w:color="EDEDED" w:fill="EDEDED"/>
            <w:noWrap/>
            <w:vAlign w:val="bottom"/>
            <w:hideMark/>
          </w:tcPr>
          <w:p w14:paraId="7C304E11" w14:textId="17E5C954"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CDW Government LLC</w:t>
            </w:r>
          </w:p>
        </w:tc>
        <w:tc>
          <w:tcPr>
            <w:tcW w:w="3245" w:type="dxa"/>
            <w:tcBorders>
              <w:top w:val="single" w:sz="4" w:space="0" w:color="C9C9C9"/>
              <w:left w:val="nil"/>
              <w:bottom w:val="single" w:sz="4" w:space="0" w:color="C9C9C9"/>
              <w:right w:val="single" w:sz="4" w:space="0" w:color="C9C9C9"/>
            </w:tcBorders>
            <w:shd w:val="clear" w:color="EDEDED" w:fill="EDEDED"/>
            <w:noWrap/>
            <w:vAlign w:val="bottom"/>
            <w:hideMark/>
          </w:tcPr>
          <w:p w14:paraId="642FD005" w14:textId="34EF7A65"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29,234,346 </w:t>
            </w:r>
          </w:p>
        </w:tc>
      </w:tr>
      <w:tr w:rsidR="004A61FA" w:rsidRPr="000F697B" w14:paraId="72CBA9E3" w14:textId="77777777" w:rsidTr="003E58F8">
        <w:trPr>
          <w:trHeight w:val="260"/>
        </w:trPr>
        <w:tc>
          <w:tcPr>
            <w:tcW w:w="6115" w:type="dxa"/>
            <w:tcBorders>
              <w:top w:val="single" w:sz="4" w:space="0" w:color="C9C9C9"/>
              <w:left w:val="single" w:sz="4" w:space="0" w:color="C9C9C9"/>
              <w:bottom w:val="single" w:sz="4" w:space="0" w:color="C9C9C9"/>
              <w:right w:val="nil"/>
            </w:tcBorders>
            <w:shd w:val="clear" w:color="auto" w:fill="auto"/>
            <w:noWrap/>
            <w:vAlign w:val="bottom"/>
            <w:hideMark/>
          </w:tcPr>
          <w:p w14:paraId="1B905091" w14:textId="614439E1"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Lenovo Corporation</w:t>
            </w:r>
          </w:p>
        </w:tc>
        <w:tc>
          <w:tcPr>
            <w:tcW w:w="3245" w:type="dxa"/>
            <w:tcBorders>
              <w:top w:val="single" w:sz="4" w:space="0" w:color="C9C9C9"/>
              <w:left w:val="nil"/>
              <w:bottom w:val="single" w:sz="4" w:space="0" w:color="C9C9C9"/>
              <w:right w:val="single" w:sz="4" w:space="0" w:color="C9C9C9"/>
            </w:tcBorders>
            <w:shd w:val="clear" w:color="auto" w:fill="auto"/>
            <w:noWrap/>
            <w:vAlign w:val="bottom"/>
            <w:hideMark/>
          </w:tcPr>
          <w:p w14:paraId="0A6F819A" w14:textId="6237368D"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16,635,593 </w:t>
            </w:r>
          </w:p>
        </w:tc>
      </w:tr>
      <w:tr w:rsidR="004A61FA" w:rsidRPr="000F697B" w14:paraId="32659062" w14:textId="77777777" w:rsidTr="003E58F8">
        <w:trPr>
          <w:trHeight w:val="260"/>
        </w:trPr>
        <w:tc>
          <w:tcPr>
            <w:tcW w:w="6115" w:type="dxa"/>
            <w:tcBorders>
              <w:top w:val="single" w:sz="4" w:space="0" w:color="C9C9C9"/>
              <w:left w:val="single" w:sz="4" w:space="0" w:color="C9C9C9"/>
              <w:bottom w:val="single" w:sz="4" w:space="0" w:color="C9C9C9"/>
              <w:right w:val="nil"/>
            </w:tcBorders>
            <w:shd w:val="clear" w:color="EDEDED" w:fill="EDEDED"/>
            <w:noWrap/>
            <w:vAlign w:val="bottom"/>
            <w:hideMark/>
          </w:tcPr>
          <w:p w14:paraId="0A416B78" w14:textId="30484CB7" w:rsidR="004A61FA" w:rsidRPr="007A4579" w:rsidRDefault="004A61FA" w:rsidP="004A61FA">
            <w:pPr>
              <w:widowControl/>
              <w:autoSpaceDE/>
              <w:autoSpaceDN/>
              <w:adjustRightInd/>
              <w:rPr>
                <w:rFonts w:eastAsia="Times New Roman" w:cs="Arial"/>
                <w:color w:val="000000"/>
                <w:szCs w:val="22"/>
              </w:rPr>
            </w:pPr>
            <w:r>
              <w:rPr>
                <w:rFonts w:cs="Arial"/>
                <w:color w:val="000000"/>
                <w:szCs w:val="22"/>
              </w:rPr>
              <w:t>T-Mobile USA, Inc</w:t>
            </w:r>
          </w:p>
        </w:tc>
        <w:tc>
          <w:tcPr>
            <w:tcW w:w="3245" w:type="dxa"/>
            <w:tcBorders>
              <w:top w:val="single" w:sz="4" w:space="0" w:color="C9C9C9"/>
              <w:left w:val="nil"/>
              <w:bottom w:val="single" w:sz="4" w:space="0" w:color="C9C9C9"/>
              <w:right w:val="single" w:sz="4" w:space="0" w:color="C9C9C9"/>
            </w:tcBorders>
            <w:shd w:val="clear" w:color="EDEDED" w:fill="EDEDED"/>
            <w:noWrap/>
            <w:vAlign w:val="bottom"/>
            <w:hideMark/>
          </w:tcPr>
          <w:p w14:paraId="0AC493C5" w14:textId="7B34B276"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16,116,114 </w:t>
            </w:r>
          </w:p>
        </w:tc>
      </w:tr>
      <w:tr w:rsidR="004A61FA" w:rsidRPr="000F697B" w14:paraId="72F5796F" w14:textId="77777777" w:rsidTr="003E58F8">
        <w:trPr>
          <w:trHeight w:val="260"/>
        </w:trPr>
        <w:tc>
          <w:tcPr>
            <w:tcW w:w="6115" w:type="dxa"/>
            <w:tcBorders>
              <w:top w:val="single" w:sz="4" w:space="0" w:color="C9C9C9"/>
              <w:left w:val="single" w:sz="4" w:space="0" w:color="C9C9C9"/>
              <w:bottom w:val="single" w:sz="4" w:space="0" w:color="C9C9C9"/>
              <w:right w:val="nil"/>
            </w:tcBorders>
            <w:shd w:val="clear" w:color="auto" w:fill="auto"/>
            <w:noWrap/>
            <w:vAlign w:val="bottom"/>
            <w:hideMark/>
          </w:tcPr>
          <w:p w14:paraId="7D60D2B2" w14:textId="7394AD78"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Carahsoft Technology Corporation</w:t>
            </w:r>
          </w:p>
        </w:tc>
        <w:tc>
          <w:tcPr>
            <w:tcW w:w="3245" w:type="dxa"/>
            <w:tcBorders>
              <w:top w:val="single" w:sz="4" w:space="0" w:color="C9C9C9"/>
              <w:left w:val="nil"/>
              <w:bottom w:val="single" w:sz="4" w:space="0" w:color="C9C9C9"/>
              <w:right w:val="single" w:sz="4" w:space="0" w:color="C9C9C9"/>
            </w:tcBorders>
            <w:shd w:val="clear" w:color="auto" w:fill="auto"/>
            <w:noWrap/>
            <w:vAlign w:val="bottom"/>
            <w:hideMark/>
          </w:tcPr>
          <w:p w14:paraId="067FE15E" w14:textId="2FAF40A5"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13,507,838 </w:t>
            </w:r>
          </w:p>
        </w:tc>
      </w:tr>
    </w:tbl>
    <w:p w14:paraId="1D5D8394" w14:textId="77777777" w:rsidR="00356746" w:rsidRDefault="00356746" w:rsidP="006122AB">
      <w:pPr>
        <w:jc w:val="both"/>
        <w:rPr>
          <w:rFonts w:cs="Arial"/>
          <w:b/>
          <w:szCs w:val="20"/>
        </w:rPr>
      </w:pPr>
    </w:p>
    <w:p w14:paraId="1DF693E5" w14:textId="5B81CB34" w:rsidR="006122AB" w:rsidRPr="000F697B" w:rsidRDefault="006122AB" w:rsidP="006122AB">
      <w:pPr>
        <w:jc w:val="both"/>
        <w:rPr>
          <w:rFonts w:cs="Arial"/>
          <w:b/>
          <w:szCs w:val="20"/>
        </w:rPr>
      </w:pPr>
      <w:r w:rsidRPr="004D3C9F">
        <w:rPr>
          <w:rFonts w:cs="Arial"/>
          <w:b/>
          <w:szCs w:val="20"/>
        </w:rPr>
        <w:t>State Agency and Higher Education Summary</w:t>
      </w:r>
    </w:p>
    <w:p w14:paraId="179478C8" w14:textId="77777777" w:rsidR="006122AB" w:rsidRPr="000F697B" w:rsidRDefault="006122AB" w:rsidP="006122AB">
      <w:pPr>
        <w:jc w:val="both"/>
        <w:rPr>
          <w:rFonts w:cs="Arial"/>
        </w:rPr>
      </w:pPr>
    </w:p>
    <w:tbl>
      <w:tblPr>
        <w:tblW w:w="9360"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blBorders>
        <w:tblLook w:val="04A0" w:firstRow="1" w:lastRow="0" w:firstColumn="1" w:lastColumn="0" w:noHBand="0" w:noVBand="1"/>
      </w:tblPr>
      <w:tblGrid>
        <w:gridCol w:w="6115"/>
        <w:gridCol w:w="3245"/>
      </w:tblGrid>
      <w:tr w:rsidR="002D7C77" w:rsidRPr="000F697B" w14:paraId="434CC16D" w14:textId="77777777" w:rsidTr="003E58F8">
        <w:trPr>
          <w:trHeight w:val="292"/>
        </w:trPr>
        <w:tc>
          <w:tcPr>
            <w:tcW w:w="6115" w:type="dxa"/>
            <w:tcBorders>
              <w:top w:val="single" w:sz="4" w:space="0" w:color="9BC2E6"/>
              <w:left w:val="single" w:sz="4" w:space="0" w:color="9BC2E6"/>
              <w:bottom w:val="single" w:sz="4" w:space="0" w:color="9BC2E6"/>
              <w:right w:val="nil"/>
            </w:tcBorders>
            <w:shd w:val="clear" w:color="5B9BD5" w:fill="5B9BD5"/>
            <w:noWrap/>
            <w:vAlign w:val="bottom"/>
            <w:hideMark/>
          </w:tcPr>
          <w:p w14:paraId="35EA5A29" w14:textId="17E17FCE" w:rsidR="002D7C77" w:rsidRPr="000F697B" w:rsidRDefault="002D7C77" w:rsidP="002D7C77">
            <w:pPr>
              <w:widowControl/>
              <w:autoSpaceDE/>
              <w:autoSpaceDN/>
              <w:adjustRightInd/>
              <w:rPr>
                <w:rFonts w:eastAsia="Times New Roman" w:cs="Arial"/>
                <w:b/>
                <w:bCs/>
                <w:color w:val="FFFFFF"/>
                <w:szCs w:val="22"/>
              </w:rPr>
            </w:pPr>
            <w:r>
              <w:rPr>
                <w:rFonts w:cs="Arial"/>
                <w:b/>
                <w:bCs/>
                <w:color w:val="FFFFFF"/>
                <w:szCs w:val="22"/>
              </w:rPr>
              <w:t>Vendor Name</w:t>
            </w:r>
          </w:p>
        </w:tc>
        <w:tc>
          <w:tcPr>
            <w:tcW w:w="3245" w:type="dxa"/>
            <w:tcBorders>
              <w:top w:val="single" w:sz="4" w:space="0" w:color="9BC2E6"/>
              <w:left w:val="nil"/>
              <w:bottom w:val="single" w:sz="4" w:space="0" w:color="9BC2E6"/>
              <w:right w:val="single" w:sz="4" w:space="0" w:color="9BC2E6"/>
            </w:tcBorders>
            <w:shd w:val="clear" w:color="5B9BD5" w:fill="5B9BD5"/>
            <w:noWrap/>
            <w:vAlign w:val="bottom"/>
            <w:hideMark/>
          </w:tcPr>
          <w:p w14:paraId="7A91B800" w14:textId="718A6024" w:rsidR="002D7C77" w:rsidRPr="000F697B" w:rsidRDefault="002D7C77" w:rsidP="003E58F8">
            <w:pPr>
              <w:widowControl/>
              <w:autoSpaceDE/>
              <w:autoSpaceDN/>
              <w:adjustRightInd/>
              <w:jc w:val="center"/>
              <w:rPr>
                <w:rFonts w:eastAsia="Times New Roman" w:cs="Arial"/>
                <w:b/>
                <w:bCs/>
                <w:color w:val="FFFFFF"/>
                <w:szCs w:val="22"/>
              </w:rPr>
            </w:pPr>
            <w:r>
              <w:rPr>
                <w:rFonts w:cs="Arial"/>
                <w:b/>
                <w:bCs/>
                <w:color w:val="FFFFFF"/>
                <w:szCs w:val="22"/>
              </w:rPr>
              <w:t>FY21 Master Contract Spend</w:t>
            </w:r>
          </w:p>
        </w:tc>
      </w:tr>
      <w:tr w:rsidR="004A61FA" w:rsidRPr="000F697B" w14:paraId="56194104" w14:textId="77777777" w:rsidTr="003E58F8">
        <w:trPr>
          <w:trHeight w:val="292"/>
        </w:trPr>
        <w:tc>
          <w:tcPr>
            <w:tcW w:w="6115" w:type="dxa"/>
            <w:tcBorders>
              <w:top w:val="single" w:sz="4" w:space="0" w:color="9BC2E6"/>
              <w:left w:val="single" w:sz="4" w:space="0" w:color="9BC2E6"/>
              <w:bottom w:val="single" w:sz="4" w:space="0" w:color="9BC2E6"/>
              <w:right w:val="nil"/>
            </w:tcBorders>
            <w:shd w:val="clear" w:color="DDEBF7" w:fill="DDEBF7"/>
            <w:noWrap/>
            <w:vAlign w:val="bottom"/>
            <w:hideMark/>
          </w:tcPr>
          <w:p w14:paraId="72A53BF3" w14:textId="1B02EE41"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SHI International Corp</w:t>
            </w:r>
          </w:p>
        </w:tc>
        <w:tc>
          <w:tcPr>
            <w:tcW w:w="3245" w:type="dxa"/>
            <w:tcBorders>
              <w:top w:val="single" w:sz="4" w:space="0" w:color="9BC2E6"/>
              <w:left w:val="nil"/>
              <w:bottom w:val="single" w:sz="4" w:space="0" w:color="9BC2E6"/>
              <w:right w:val="single" w:sz="4" w:space="0" w:color="9BC2E6"/>
            </w:tcBorders>
            <w:shd w:val="clear" w:color="DDEBF7" w:fill="DDEBF7"/>
            <w:noWrap/>
            <w:vAlign w:val="bottom"/>
            <w:hideMark/>
          </w:tcPr>
          <w:p w14:paraId="47F9D2D0" w14:textId="714FC372"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46,221,626 </w:t>
            </w:r>
          </w:p>
        </w:tc>
      </w:tr>
      <w:tr w:rsidR="004A61FA" w:rsidRPr="000F697B" w14:paraId="175D19AF" w14:textId="77777777" w:rsidTr="003E58F8">
        <w:trPr>
          <w:trHeight w:val="292"/>
        </w:trPr>
        <w:tc>
          <w:tcPr>
            <w:tcW w:w="6115" w:type="dxa"/>
            <w:tcBorders>
              <w:top w:val="single" w:sz="4" w:space="0" w:color="9BC2E6"/>
              <w:left w:val="single" w:sz="4" w:space="0" w:color="9BC2E6"/>
              <w:bottom w:val="single" w:sz="4" w:space="0" w:color="9BC2E6"/>
              <w:right w:val="nil"/>
            </w:tcBorders>
            <w:shd w:val="clear" w:color="auto" w:fill="auto"/>
            <w:noWrap/>
            <w:vAlign w:val="bottom"/>
            <w:hideMark/>
          </w:tcPr>
          <w:p w14:paraId="21E00CEC" w14:textId="7D301ACA"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Dell</w:t>
            </w:r>
          </w:p>
        </w:tc>
        <w:tc>
          <w:tcPr>
            <w:tcW w:w="3245" w:type="dxa"/>
            <w:tcBorders>
              <w:top w:val="single" w:sz="4" w:space="0" w:color="9BC2E6"/>
              <w:left w:val="nil"/>
              <w:bottom w:val="single" w:sz="4" w:space="0" w:color="9BC2E6"/>
              <w:right w:val="single" w:sz="4" w:space="0" w:color="9BC2E6"/>
            </w:tcBorders>
            <w:shd w:val="clear" w:color="auto" w:fill="auto"/>
            <w:noWrap/>
            <w:vAlign w:val="bottom"/>
            <w:hideMark/>
          </w:tcPr>
          <w:p w14:paraId="2B5C84BD" w14:textId="1C09CD86"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34,056,131 </w:t>
            </w:r>
          </w:p>
        </w:tc>
      </w:tr>
      <w:tr w:rsidR="004A61FA" w:rsidRPr="000F697B" w14:paraId="29C25BA6" w14:textId="77777777" w:rsidTr="003E58F8">
        <w:trPr>
          <w:trHeight w:val="292"/>
        </w:trPr>
        <w:tc>
          <w:tcPr>
            <w:tcW w:w="6115" w:type="dxa"/>
            <w:tcBorders>
              <w:top w:val="single" w:sz="4" w:space="0" w:color="9BC2E6"/>
              <w:left w:val="single" w:sz="4" w:space="0" w:color="9BC2E6"/>
              <w:bottom w:val="single" w:sz="4" w:space="0" w:color="9BC2E6"/>
              <w:right w:val="nil"/>
            </w:tcBorders>
            <w:shd w:val="clear" w:color="DDEBF7" w:fill="DDEBF7"/>
            <w:noWrap/>
            <w:vAlign w:val="bottom"/>
            <w:hideMark/>
          </w:tcPr>
          <w:p w14:paraId="69AF0BF0" w14:textId="061F348A"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Insight Public Sector, Inc.</w:t>
            </w:r>
          </w:p>
        </w:tc>
        <w:tc>
          <w:tcPr>
            <w:tcW w:w="3245" w:type="dxa"/>
            <w:tcBorders>
              <w:top w:val="single" w:sz="4" w:space="0" w:color="9BC2E6"/>
              <w:left w:val="nil"/>
              <w:bottom w:val="single" w:sz="4" w:space="0" w:color="9BC2E6"/>
              <w:right w:val="single" w:sz="4" w:space="0" w:color="9BC2E6"/>
            </w:tcBorders>
            <w:shd w:val="clear" w:color="DDEBF7" w:fill="DDEBF7"/>
            <w:noWrap/>
            <w:vAlign w:val="bottom"/>
            <w:hideMark/>
          </w:tcPr>
          <w:p w14:paraId="7B69ED52" w14:textId="3F1E50BE"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22,943,094 </w:t>
            </w:r>
          </w:p>
        </w:tc>
      </w:tr>
      <w:tr w:rsidR="004A61FA" w:rsidRPr="000F697B" w14:paraId="2EB95095" w14:textId="77777777" w:rsidTr="003E58F8">
        <w:trPr>
          <w:trHeight w:val="292"/>
        </w:trPr>
        <w:tc>
          <w:tcPr>
            <w:tcW w:w="6115" w:type="dxa"/>
            <w:tcBorders>
              <w:top w:val="single" w:sz="4" w:space="0" w:color="9BC2E6"/>
              <w:left w:val="single" w:sz="4" w:space="0" w:color="9BC2E6"/>
              <w:bottom w:val="single" w:sz="4" w:space="0" w:color="9BC2E6"/>
              <w:right w:val="nil"/>
            </w:tcBorders>
            <w:shd w:val="clear" w:color="auto" w:fill="auto"/>
            <w:noWrap/>
            <w:vAlign w:val="bottom"/>
            <w:hideMark/>
          </w:tcPr>
          <w:p w14:paraId="2042C8B2" w14:textId="2D67CE94"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Verizon Wireless</w:t>
            </w:r>
          </w:p>
        </w:tc>
        <w:tc>
          <w:tcPr>
            <w:tcW w:w="3245" w:type="dxa"/>
            <w:tcBorders>
              <w:top w:val="single" w:sz="4" w:space="0" w:color="9BC2E6"/>
              <w:left w:val="nil"/>
              <w:bottom w:val="single" w:sz="4" w:space="0" w:color="9BC2E6"/>
              <w:right w:val="single" w:sz="4" w:space="0" w:color="9BC2E6"/>
            </w:tcBorders>
            <w:shd w:val="clear" w:color="auto" w:fill="auto"/>
            <w:noWrap/>
            <w:vAlign w:val="bottom"/>
            <w:hideMark/>
          </w:tcPr>
          <w:p w14:paraId="3D1A22E4" w14:textId="090C524F"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19,678,611 </w:t>
            </w:r>
          </w:p>
        </w:tc>
      </w:tr>
      <w:tr w:rsidR="004A61FA" w:rsidRPr="000F697B" w14:paraId="30A7C6D2" w14:textId="77777777" w:rsidTr="003E58F8">
        <w:trPr>
          <w:trHeight w:val="292"/>
        </w:trPr>
        <w:tc>
          <w:tcPr>
            <w:tcW w:w="6115" w:type="dxa"/>
            <w:tcBorders>
              <w:top w:val="single" w:sz="4" w:space="0" w:color="9BC2E6"/>
              <w:left w:val="single" w:sz="4" w:space="0" w:color="9BC2E6"/>
              <w:bottom w:val="single" w:sz="4" w:space="0" w:color="9BC2E6"/>
              <w:right w:val="nil"/>
            </w:tcBorders>
            <w:shd w:val="clear" w:color="DDEBF7" w:fill="DDEBF7"/>
            <w:noWrap/>
            <w:vAlign w:val="bottom"/>
            <w:hideMark/>
          </w:tcPr>
          <w:p w14:paraId="1655301C" w14:textId="242A4B93"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Cisco Systems, Inc.</w:t>
            </w:r>
          </w:p>
        </w:tc>
        <w:tc>
          <w:tcPr>
            <w:tcW w:w="3245" w:type="dxa"/>
            <w:tcBorders>
              <w:top w:val="single" w:sz="4" w:space="0" w:color="9BC2E6"/>
              <w:left w:val="nil"/>
              <w:bottom w:val="single" w:sz="4" w:space="0" w:color="9BC2E6"/>
              <w:right w:val="single" w:sz="4" w:space="0" w:color="9BC2E6"/>
            </w:tcBorders>
            <w:shd w:val="clear" w:color="DDEBF7" w:fill="DDEBF7"/>
            <w:noWrap/>
            <w:vAlign w:val="bottom"/>
            <w:hideMark/>
          </w:tcPr>
          <w:p w14:paraId="5D235CB0" w14:textId="38BE468A"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14,842,421 </w:t>
            </w:r>
          </w:p>
        </w:tc>
      </w:tr>
      <w:tr w:rsidR="004A61FA" w:rsidRPr="000F697B" w14:paraId="687219E8" w14:textId="77777777" w:rsidTr="003E58F8">
        <w:trPr>
          <w:trHeight w:val="292"/>
        </w:trPr>
        <w:tc>
          <w:tcPr>
            <w:tcW w:w="6115" w:type="dxa"/>
            <w:tcBorders>
              <w:top w:val="single" w:sz="4" w:space="0" w:color="9BC2E6"/>
              <w:left w:val="single" w:sz="4" w:space="0" w:color="9BC2E6"/>
              <w:bottom w:val="single" w:sz="4" w:space="0" w:color="9BC2E6"/>
              <w:right w:val="nil"/>
            </w:tcBorders>
            <w:shd w:val="clear" w:color="auto" w:fill="auto"/>
            <w:noWrap/>
            <w:vAlign w:val="bottom"/>
            <w:hideMark/>
          </w:tcPr>
          <w:p w14:paraId="2F833BEF" w14:textId="2C2E47D6"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Carahsoft Technology Corporation</w:t>
            </w:r>
          </w:p>
        </w:tc>
        <w:tc>
          <w:tcPr>
            <w:tcW w:w="3245" w:type="dxa"/>
            <w:tcBorders>
              <w:top w:val="single" w:sz="4" w:space="0" w:color="9BC2E6"/>
              <w:left w:val="nil"/>
              <w:bottom w:val="single" w:sz="4" w:space="0" w:color="9BC2E6"/>
              <w:right w:val="single" w:sz="4" w:space="0" w:color="9BC2E6"/>
            </w:tcBorders>
            <w:shd w:val="clear" w:color="auto" w:fill="auto"/>
            <w:noWrap/>
            <w:vAlign w:val="bottom"/>
            <w:hideMark/>
          </w:tcPr>
          <w:p w14:paraId="589F0AE7" w14:textId="76A4EB8E"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9,404,296 </w:t>
            </w:r>
          </w:p>
        </w:tc>
      </w:tr>
      <w:tr w:rsidR="004A61FA" w:rsidRPr="000F697B" w14:paraId="5E05ECDE" w14:textId="77777777" w:rsidTr="003E58F8">
        <w:trPr>
          <w:trHeight w:val="292"/>
        </w:trPr>
        <w:tc>
          <w:tcPr>
            <w:tcW w:w="6115" w:type="dxa"/>
            <w:tcBorders>
              <w:top w:val="single" w:sz="4" w:space="0" w:color="9BC2E6"/>
              <w:left w:val="single" w:sz="4" w:space="0" w:color="9BC2E6"/>
              <w:bottom w:val="single" w:sz="4" w:space="0" w:color="9BC2E6"/>
              <w:right w:val="nil"/>
            </w:tcBorders>
            <w:shd w:val="clear" w:color="DDEBF7" w:fill="DDEBF7"/>
            <w:noWrap/>
            <w:vAlign w:val="bottom"/>
            <w:hideMark/>
          </w:tcPr>
          <w:p w14:paraId="7C58B8E3" w14:textId="60B190DC"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HP Inc.</w:t>
            </w:r>
          </w:p>
        </w:tc>
        <w:tc>
          <w:tcPr>
            <w:tcW w:w="3245" w:type="dxa"/>
            <w:tcBorders>
              <w:top w:val="single" w:sz="4" w:space="0" w:color="9BC2E6"/>
              <w:left w:val="nil"/>
              <w:bottom w:val="single" w:sz="4" w:space="0" w:color="9BC2E6"/>
              <w:right w:val="single" w:sz="4" w:space="0" w:color="9BC2E6"/>
            </w:tcBorders>
            <w:shd w:val="clear" w:color="DDEBF7" w:fill="DDEBF7"/>
            <w:noWrap/>
            <w:vAlign w:val="bottom"/>
            <w:hideMark/>
          </w:tcPr>
          <w:p w14:paraId="72B9D3F9" w14:textId="2FED951B"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7,638,686 </w:t>
            </w:r>
          </w:p>
        </w:tc>
      </w:tr>
      <w:tr w:rsidR="004A61FA" w:rsidRPr="000F697B" w14:paraId="756B6697" w14:textId="77777777" w:rsidTr="003E58F8">
        <w:trPr>
          <w:trHeight w:val="292"/>
        </w:trPr>
        <w:tc>
          <w:tcPr>
            <w:tcW w:w="6115" w:type="dxa"/>
            <w:tcBorders>
              <w:top w:val="single" w:sz="4" w:space="0" w:color="9BC2E6"/>
              <w:left w:val="single" w:sz="4" w:space="0" w:color="9BC2E6"/>
              <w:bottom w:val="single" w:sz="4" w:space="0" w:color="9BC2E6"/>
              <w:right w:val="nil"/>
            </w:tcBorders>
            <w:shd w:val="clear" w:color="auto" w:fill="auto"/>
            <w:noWrap/>
            <w:vAlign w:val="bottom"/>
            <w:hideMark/>
          </w:tcPr>
          <w:p w14:paraId="245CF2C4" w14:textId="35025DAF"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Ricoh USA, Inc.</w:t>
            </w:r>
          </w:p>
        </w:tc>
        <w:tc>
          <w:tcPr>
            <w:tcW w:w="3245" w:type="dxa"/>
            <w:tcBorders>
              <w:top w:val="single" w:sz="4" w:space="0" w:color="9BC2E6"/>
              <w:left w:val="nil"/>
              <w:bottom w:val="single" w:sz="4" w:space="0" w:color="9BC2E6"/>
              <w:right w:val="single" w:sz="4" w:space="0" w:color="9BC2E6"/>
            </w:tcBorders>
            <w:shd w:val="clear" w:color="auto" w:fill="auto"/>
            <w:noWrap/>
            <w:vAlign w:val="bottom"/>
            <w:hideMark/>
          </w:tcPr>
          <w:p w14:paraId="1CDA152F" w14:textId="487E03A6"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5,279,694 </w:t>
            </w:r>
          </w:p>
        </w:tc>
      </w:tr>
      <w:tr w:rsidR="004A61FA" w:rsidRPr="000F697B" w14:paraId="1728B46B" w14:textId="77777777" w:rsidTr="003E58F8">
        <w:trPr>
          <w:trHeight w:val="292"/>
        </w:trPr>
        <w:tc>
          <w:tcPr>
            <w:tcW w:w="6115" w:type="dxa"/>
            <w:tcBorders>
              <w:top w:val="single" w:sz="4" w:space="0" w:color="9BC2E6"/>
              <w:left w:val="single" w:sz="4" w:space="0" w:color="9BC2E6"/>
              <w:bottom w:val="single" w:sz="4" w:space="0" w:color="9BC2E6"/>
              <w:right w:val="nil"/>
            </w:tcBorders>
            <w:shd w:val="clear" w:color="DDEBF7" w:fill="DDEBF7"/>
            <w:noWrap/>
            <w:vAlign w:val="bottom"/>
            <w:hideMark/>
          </w:tcPr>
          <w:p w14:paraId="344BA9BD" w14:textId="45FA43B8"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ADT Commercial LLC</w:t>
            </w:r>
          </w:p>
        </w:tc>
        <w:tc>
          <w:tcPr>
            <w:tcW w:w="3245" w:type="dxa"/>
            <w:tcBorders>
              <w:top w:val="single" w:sz="4" w:space="0" w:color="9BC2E6"/>
              <w:left w:val="nil"/>
              <w:bottom w:val="single" w:sz="4" w:space="0" w:color="9BC2E6"/>
              <w:right w:val="single" w:sz="4" w:space="0" w:color="9BC2E6"/>
            </w:tcBorders>
            <w:shd w:val="clear" w:color="DDEBF7" w:fill="DDEBF7"/>
            <w:noWrap/>
            <w:vAlign w:val="bottom"/>
            <w:hideMark/>
          </w:tcPr>
          <w:p w14:paraId="55BB8D4D" w14:textId="255EE527"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4,981,745 </w:t>
            </w:r>
          </w:p>
        </w:tc>
      </w:tr>
      <w:tr w:rsidR="004A61FA" w:rsidRPr="000F697B" w14:paraId="12D17B8A" w14:textId="77777777" w:rsidTr="003E58F8">
        <w:trPr>
          <w:trHeight w:val="292"/>
        </w:trPr>
        <w:tc>
          <w:tcPr>
            <w:tcW w:w="6115" w:type="dxa"/>
            <w:tcBorders>
              <w:top w:val="single" w:sz="4" w:space="0" w:color="9BC2E6"/>
              <w:left w:val="single" w:sz="4" w:space="0" w:color="9BC2E6"/>
              <w:bottom w:val="single" w:sz="4" w:space="0" w:color="9BC2E6"/>
              <w:right w:val="nil"/>
            </w:tcBorders>
            <w:shd w:val="clear" w:color="auto" w:fill="auto"/>
            <w:noWrap/>
            <w:vAlign w:val="bottom"/>
            <w:hideMark/>
          </w:tcPr>
          <w:p w14:paraId="0F9E2080" w14:textId="487B1BE1"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CDW Government LLC</w:t>
            </w:r>
          </w:p>
        </w:tc>
        <w:tc>
          <w:tcPr>
            <w:tcW w:w="3245" w:type="dxa"/>
            <w:tcBorders>
              <w:top w:val="single" w:sz="4" w:space="0" w:color="9BC2E6"/>
              <w:left w:val="nil"/>
              <w:bottom w:val="single" w:sz="4" w:space="0" w:color="9BC2E6"/>
              <w:right w:val="single" w:sz="4" w:space="0" w:color="9BC2E6"/>
            </w:tcBorders>
            <w:shd w:val="clear" w:color="auto" w:fill="auto"/>
            <w:noWrap/>
            <w:vAlign w:val="bottom"/>
            <w:hideMark/>
          </w:tcPr>
          <w:p w14:paraId="405187BF" w14:textId="4489C795"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4,513,416 </w:t>
            </w:r>
          </w:p>
        </w:tc>
      </w:tr>
    </w:tbl>
    <w:p w14:paraId="097D05BF" w14:textId="77777777" w:rsidR="006122AB" w:rsidRPr="00733D15" w:rsidRDefault="006122AB" w:rsidP="006122AB">
      <w:pPr>
        <w:jc w:val="both"/>
        <w:rPr>
          <w:rFonts w:cs="Arial"/>
        </w:rPr>
      </w:pPr>
    </w:p>
    <w:p w14:paraId="55E97390" w14:textId="77777777" w:rsidR="00B9395F" w:rsidRDefault="00B9395F" w:rsidP="006122AB">
      <w:pPr>
        <w:jc w:val="both"/>
        <w:rPr>
          <w:rFonts w:cs="Arial"/>
          <w:b/>
          <w:szCs w:val="20"/>
        </w:rPr>
      </w:pPr>
    </w:p>
    <w:p w14:paraId="30BE6C73" w14:textId="77777777" w:rsidR="00B9395F" w:rsidRDefault="00B9395F" w:rsidP="006122AB">
      <w:pPr>
        <w:jc w:val="both"/>
        <w:rPr>
          <w:rFonts w:cs="Arial"/>
          <w:b/>
          <w:szCs w:val="20"/>
        </w:rPr>
      </w:pPr>
    </w:p>
    <w:p w14:paraId="1C523519" w14:textId="780346C2" w:rsidR="006122AB" w:rsidRPr="008569EB" w:rsidRDefault="006122AB" w:rsidP="006122AB">
      <w:pPr>
        <w:jc w:val="both"/>
        <w:rPr>
          <w:rFonts w:cs="Arial"/>
          <w:b/>
          <w:szCs w:val="20"/>
        </w:rPr>
      </w:pPr>
      <w:r w:rsidRPr="004D3C9F">
        <w:rPr>
          <w:rFonts w:cs="Arial"/>
          <w:b/>
          <w:szCs w:val="20"/>
        </w:rPr>
        <w:lastRenderedPageBreak/>
        <w:t>Political Subdivisions and Qualified Non-Profits Summary</w:t>
      </w:r>
      <w:r w:rsidRPr="008569EB">
        <w:rPr>
          <w:rFonts w:cs="Arial"/>
          <w:b/>
          <w:szCs w:val="20"/>
        </w:rPr>
        <w:t xml:space="preserve"> </w:t>
      </w:r>
    </w:p>
    <w:p w14:paraId="18CBC937" w14:textId="77777777" w:rsidR="006122AB" w:rsidRPr="000F697B" w:rsidRDefault="006122AB" w:rsidP="006122AB">
      <w:pPr>
        <w:jc w:val="both"/>
        <w:rPr>
          <w:rFonts w:cs="Arial"/>
        </w:rPr>
      </w:pPr>
    </w:p>
    <w:tbl>
      <w:tblPr>
        <w:tblW w:w="9355"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blBorders>
        <w:tblLook w:val="04A0" w:firstRow="1" w:lastRow="0" w:firstColumn="1" w:lastColumn="0" w:noHBand="0" w:noVBand="1"/>
      </w:tblPr>
      <w:tblGrid>
        <w:gridCol w:w="6115"/>
        <w:gridCol w:w="3240"/>
      </w:tblGrid>
      <w:tr w:rsidR="002D7C77" w:rsidRPr="000F697B" w14:paraId="6272FFFE" w14:textId="77777777" w:rsidTr="003E58F8">
        <w:trPr>
          <w:trHeight w:val="510"/>
        </w:trPr>
        <w:tc>
          <w:tcPr>
            <w:tcW w:w="6115" w:type="dxa"/>
            <w:tcBorders>
              <w:top w:val="single" w:sz="4" w:space="0" w:color="F4B084"/>
              <w:left w:val="single" w:sz="4" w:space="0" w:color="F4B084"/>
              <w:bottom w:val="single" w:sz="4" w:space="0" w:color="F4B084"/>
              <w:right w:val="nil"/>
            </w:tcBorders>
            <w:shd w:val="clear" w:color="ED7D31" w:fill="ED7D31"/>
            <w:noWrap/>
            <w:vAlign w:val="bottom"/>
            <w:hideMark/>
          </w:tcPr>
          <w:p w14:paraId="5CF3013F" w14:textId="6BEA0258" w:rsidR="002D7C77" w:rsidRPr="000F697B" w:rsidRDefault="002D7C77" w:rsidP="002D7C77">
            <w:pPr>
              <w:widowControl/>
              <w:autoSpaceDE/>
              <w:autoSpaceDN/>
              <w:adjustRightInd/>
              <w:rPr>
                <w:rFonts w:eastAsia="Times New Roman" w:cs="Arial"/>
                <w:b/>
                <w:bCs/>
                <w:color w:val="FFFFFF"/>
                <w:szCs w:val="22"/>
              </w:rPr>
            </w:pPr>
            <w:r>
              <w:rPr>
                <w:rFonts w:cs="Arial"/>
                <w:b/>
                <w:bCs/>
                <w:color w:val="FFFFFF"/>
                <w:szCs w:val="22"/>
              </w:rPr>
              <w:t>Vendor Name</w:t>
            </w:r>
          </w:p>
        </w:tc>
        <w:tc>
          <w:tcPr>
            <w:tcW w:w="3240" w:type="dxa"/>
            <w:tcBorders>
              <w:top w:val="single" w:sz="4" w:space="0" w:color="F4B084"/>
              <w:left w:val="nil"/>
              <w:bottom w:val="single" w:sz="4" w:space="0" w:color="F4B084"/>
              <w:right w:val="single" w:sz="4" w:space="0" w:color="F4B084"/>
            </w:tcBorders>
            <w:shd w:val="clear" w:color="ED7D31" w:fill="ED7D31"/>
            <w:noWrap/>
            <w:vAlign w:val="bottom"/>
            <w:hideMark/>
          </w:tcPr>
          <w:p w14:paraId="7183A58D" w14:textId="4F0138F1" w:rsidR="002D7C77" w:rsidRPr="000F697B" w:rsidRDefault="002D7C77" w:rsidP="003E58F8">
            <w:pPr>
              <w:widowControl/>
              <w:autoSpaceDE/>
              <w:autoSpaceDN/>
              <w:adjustRightInd/>
              <w:jc w:val="center"/>
              <w:rPr>
                <w:rFonts w:eastAsia="Times New Roman" w:cs="Arial"/>
                <w:b/>
                <w:bCs/>
                <w:color w:val="FFFFFF"/>
                <w:szCs w:val="22"/>
              </w:rPr>
            </w:pPr>
            <w:r>
              <w:rPr>
                <w:rFonts w:cs="Arial"/>
                <w:b/>
                <w:bCs/>
                <w:color w:val="FFFFFF"/>
                <w:szCs w:val="22"/>
              </w:rPr>
              <w:t>FY21 Master Contract Spend</w:t>
            </w:r>
          </w:p>
        </w:tc>
      </w:tr>
      <w:tr w:rsidR="004A61FA" w:rsidRPr="000F697B" w14:paraId="379A17BD" w14:textId="77777777" w:rsidTr="003E58F8">
        <w:trPr>
          <w:trHeight w:val="255"/>
        </w:trPr>
        <w:tc>
          <w:tcPr>
            <w:tcW w:w="6115" w:type="dxa"/>
            <w:tcBorders>
              <w:top w:val="single" w:sz="4" w:space="0" w:color="F4B084"/>
              <w:left w:val="single" w:sz="4" w:space="0" w:color="F4B084"/>
              <w:bottom w:val="single" w:sz="4" w:space="0" w:color="F4B084"/>
              <w:right w:val="nil"/>
            </w:tcBorders>
            <w:shd w:val="clear" w:color="FCE4D6" w:fill="FCE4D6"/>
            <w:noWrap/>
            <w:vAlign w:val="bottom"/>
            <w:hideMark/>
          </w:tcPr>
          <w:p w14:paraId="70D39128" w14:textId="20FEE252"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Dell</w:t>
            </w:r>
          </w:p>
        </w:tc>
        <w:tc>
          <w:tcPr>
            <w:tcW w:w="3240" w:type="dxa"/>
            <w:tcBorders>
              <w:top w:val="single" w:sz="4" w:space="0" w:color="F4B084"/>
              <w:left w:val="nil"/>
              <w:bottom w:val="single" w:sz="4" w:space="0" w:color="F4B084"/>
              <w:right w:val="single" w:sz="4" w:space="0" w:color="F4B084"/>
            </w:tcBorders>
            <w:shd w:val="clear" w:color="FCE4D6" w:fill="FCE4D6"/>
            <w:noWrap/>
            <w:vAlign w:val="bottom"/>
            <w:hideMark/>
          </w:tcPr>
          <w:p w14:paraId="7F749C38" w14:textId="74BA84BB"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74,188,935 </w:t>
            </w:r>
          </w:p>
        </w:tc>
      </w:tr>
      <w:tr w:rsidR="004A61FA" w:rsidRPr="000F697B" w14:paraId="27656BB1" w14:textId="77777777" w:rsidTr="003E58F8">
        <w:trPr>
          <w:trHeight w:val="255"/>
        </w:trPr>
        <w:tc>
          <w:tcPr>
            <w:tcW w:w="6115" w:type="dxa"/>
            <w:tcBorders>
              <w:top w:val="single" w:sz="4" w:space="0" w:color="F4B084"/>
              <w:left w:val="single" w:sz="4" w:space="0" w:color="F4B084"/>
              <w:bottom w:val="single" w:sz="4" w:space="0" w:color="F4B084"/>
              <w:right w:val="nil"/>
            </w:tcBorders>
            <w:shd w:val="clear" w:color="auto" w:fill="auto"/>
            <w:noWrap/>
            <w:vAlign w:val="bottom"/>
            <w:hideMark/>
          </w:tcPr>
          <w:p w14:paraId="2D8D9031" w14:textId="0E00EECA"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HP Inc.</w:t>
            </w:r>
          </w:p>
        </w:tc>
        <w:tc>
          <w:tcPr>
            <w:tcW w:w="3240" w:type="dxa"/>
            <w:tcBorders>
              <w:top w:val="single" w:sz="4" w:space="0" w:color="F4B084"/>
              <w:left w:val="nil"/>
              <w:bottom w:val="single" w:sz="4" w:space="0" w:color="F4B084"/>
              <w:right w:val="single" w:sz="4" w:space="0" w:color="F4B084"/>
            </w:tcBorders>
            <w:shd w:val="clear" w:color="auto" w:fill="auto"/>
            <w:noWrap/>
            <w:vAlign w:val="bottom"/>
            <w:hideMark/>
          </w:tcPr>
          <w:p w14:paraId="2AE17C2C" w14:textId="3282DF76"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45,249,230 </w:t>
            </w:r>
          </w:p>
        </w:tc>
      </w:tr>
      <w:tr w:rsidR="004A61FA" w:rsidRPr="000F697B" w14:paraId="603AB7BA" w14:textId="77777777" w:rsidTr="003E58F8">
        <w:trPr>
          <w:trHeight w:val="255"/>
        </w:trPr>
        <w:tc>
          <w:tcPr>
            <w:tcW w:w="6115" w:type="dxa"/>
            <w:tcBorders>
              <w:top w:val="single" w:sz="4" w:space="0" w:color="F4B084"/>
              <w:left w:val="single" w:sz="4" w:space="0" w:color="F4B084"/>
              <w:bottom w:val="single" w:sz="4" w:space="0" w:color="F4B084"/>
              <w:right w:val="nil"/>
            </w:tcBorders>
            <w:shd w:val="clear" w:color="FCE4D6" w:fill="FCE4D6"/>
            <w:noWrap/>
            <w:vAlign w:val="bottom"/>
            <w:hideMark/>
          </w:tcPr>
          <w:p w14:paraId="78E1389E" w14:textId="1BB5188E"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Verizon Wireless</w:t>
            </w:r>
          </w:p>
        </w:tc>
        <w:tc>
          <w:tcPr>
            <w:tcW w:w="3240" w:type="dxa"/>
            <w:tcBorders>
              <w:top w:val="single" w:sz="4" w:space="0" w:color="F4B084"/>
              <w:left w:val="nil"/>
              <w:bottom w:val="single" w:sz="4" w:space="0" w:color="F4B084"/>
              <w:right w:val="single" w:sz="4" w:space="0" w:color="F4B084"/>
            </w:tcBorders>
            <w:shd w:val="clear" w:color="FCE4D6" w:fill="FCE4D6"/>
            <w:noWrap/>
            <w:vAlign w:val="bottom"/>
            <w:hideMark/>
          </w:tcPr>
          <w:p w14:paraId="73460500" w14:textId="61C39080"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27,656,293 </w:t>
            </w:r>
          </w:p>
        </w:tc>
      </w:tr>
      <w:tr w:rsidR="004A61FA" w:rsidRPr="000F697B" w14:paraId="158BD692" w14:textId="77777777" w:rsidTr="003E58F8">
        <w:trPr>
          <w:trHeight w:val="255"/>
        </w:trPr>
        <w:tc>
          <w:tcPr>
            <w:tcW w:w="6115" w:type="dxa"/>
            <w:tcBorders>
              <w:top w:val="single" w:sz="4" w:space="0" w:color="F4B084"/>
              <w:left w:val="single" w:sz="4" w:space="0" w:color="F4B084"/>
              <w:bottom w:val="single" w:sz="4" w:space="0" w:color="F4B084"/>
              <w:right w:val="nil"/>
            </w:tcBorders>
            <w:shd w:val="clear" w:color="auto" w:fill="auto"/>
            <w:noWrap/>
            <w:vAlign w:val="bottom"/>
            <w:hideMark/>
          </w:tcPr>
          <w:p w14:paraId="47A7359C" w14:textId="504A4E61"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CDW Government LLC</w:t>
            </w:r>
          </w:p>
        </w:tc>
        <w:tc>
          <w:tcPr>
            <w:tcW w:w="3240" w:type="dxa"/>
            <w:tcBorders>
              <w:top w:val="single" w:sz="4" w:space="0" w:color="F4B084"/>
              <w:left w:val="nil"/>
              <w:bottom w:val="single" w:sz="4" w:space="0" w:color="F4B084"/>
              <w:right w:val="single" w:sz="4" w:space="0" w:color="F4B084"/>
            </w:tcBorders>
            <w:shd w:val="clear" w:color="auto" w:fill="auto"/>
            <w:noWrap/>
            <w:vAlign w:val="bottom"/>
            <w:hideMark/>
          </w:tcPr>
          <w:p w14:paraId="74C06FBF" w14:textId="268B6827"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24,720,930 </w:t>
            </w:r>
          </w:p>
        </w:tc>
      </w:tr>
      <w:tr w:rsidR="004A61FA" w:rsidRPr="000F697B" w14:paraId="3AAD2E9B" w14:textId="77777777" w:rsidTr="003E58F8">
        <w:trPr>
          <w:trHeight w:val="255"/>
        </w:trPr>
        <w:tc>
          <w:tcPr>
            <w:tcW w:w="6115" w:type="dxa"/>
            <w:tcBorders>
              <w:top w:val="single" w:sz="4" w:space="0" w:color="F4B084"/>
              <w:left w:val="single" w:sz="4" w:space="0" w:color="F4B084"/>
              <w:bottom w:val="single" w:sz="4" w:space="0" w:color="F4B084"/>
              <w:right w:val="nil"/>
            </w:tcBorders>
            <w:shd w:val="clear" w:color="FCE4D6" w:fill="FCE4D6"/>
            <w:noWrap/>
            <w:vAlign w:val="bottom"/>
            <w:hideMark/>
          </w:tcPr>
          <w:p w14:paraId="30B34CF9" w14:textId="1DA9A2C6"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Cisco Systems, Inc.</w:t>
            </w:r>
          </w:p>
        </w:tc>
        <w:tc>
          <w:tcPr>
            <w:tcW w:w="3240" w:type="dxa"/>
            <w:tcBorders>
              <w:top w:val="single" w:sz="4" w:space="0" w:color="F4B084"/>
              <w:left w:val="nil"/>
              <w:bottom w:val="single" w:sz="4" w:space="0" w:color="F4B084"/>
              <w:right w:val="single" w:sz="4" w:space="0" w:color="F4B084"/>
            </w:tcBorders>
            <w:shd w:val="clear" w:color="FCE4D6" w:fill="FCE4D6"/>
            <w:noWrap/>
            <w:vAlign w:val="bottom"/>
            <w:hideMark/>
          </w:tcPr>
          <w:p w14:paraId="699CAD31" w14:textId="4D2757FD"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17,889,729 </w:t>
            </w:r>
          </w:p>
        </w:tc>
      </w:tr>
      <w:tr w:rsidR="004A61FA" w:rsidRPr="000F697B" w14:paraId="5020F221" w14:textId="77777777" w:rsidTr="003E58F8">
        <w:trPr>
          <w:trHeight w:val="333"/>
        </w:trPr>
        <w:tc>
          <w:tcPr>
            <w:tcW w:w="6115" w:type="dxa"/>
            <w:tcBorders>
              <w:top w:val="single" w:sz="4" w:space="0" w:color="F4B084"/>
              <w:left w:val="single" w:sz="4" w:space="0" w:color="F4B084"/>
              <w:bottom w:val="single" w:sz="4" w:space="0" w:color="F4B084"/>
              <w:right w:val="nil"/>
            </w:tcBorders>
            <w:shd w:val="clear" w:color="auto" w:fill="auto"/>
            <w:noWrap/>
            <w:vAlign w:val="bottom"/>
            <w:hideMark/>
          </w:tcPr>
          <w:p w14:paraId="20E1C92D" w14:textId="36DA22BE"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Lenovo Corporation</w:t>
            </w:r>
          </w:p>
        </w:tc>
        <w:tc>
          <w:tcPr>
            <w:tcW w:w="3240" w:type="dxa"/>
            <w:tcBorders>
              <w:top w:val="single" w:sz="4" w:space="0" w:color="F4B084"/>
              <w:left w:val="nil"/>
              <w:bottom w:val="single" w:sz="4" w:space="0" w:color="F4B084"/>
              <w:right w:val="single" w:sz="4" w:space="0" w:color="F4B084"/>
            </w:tcBorders>
            <w:shd w:val="clear" w:color="auto" w:fill="auto"/>
            <w:noWrap/>
            <w:vAlign w:val="bottom"/>
            <w:hideMark/>
          </w:tcPr>
          <w:p w14:paraId="10EF8729" w14:textId="79676B1C"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16,124,211 </w:t>
            </w:r>
          </w:p>
        </w:tc>
      </w:tr>
      <w:tr w:rsidR="004A61FA" w:rsidRPr="000F697B" w14:paraId="7D7A9C66" w14:textId="77777777" w:rsidTr="003E58F8">
        <w:trPr>
          <w:trHeight w:val="255"/>
        </w:trPr>
        <w:tc>
          <w:tcPr>
            <w:tcW w:w="6115" w:type="dxa"/>
            <w:tcBorders>
              <w:top w:val="single" w:sz="4" w:space="0" w:color="F4B084"/>
              <w:left w:val="single" w:sz="4" w:space="0" w:color="F4B084"/>
              <w:bottom w:val="single" w:sz="4" w:space="0" w:color="F4B084"/>
              <w:right w:val="nil"/>
            </w:tcBorders>
            <w:shd w:val="clear" w:color="FCE4D6" w:fill="FCE4D6"/>
            <w:noWrap/>
            <w:vAlign w:val="bottom"/>
            <w:hideMark/>
          </w:tcPr>
          <w:p w14:paraId="1AF5CBB5" w14:textId="58ACFFDC"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SHI International Corp</w:t>
            </w:r>
          </w:p>
        </w:tc>
        <w:tc>
          <w:tcPr>
            <w:tcW w:w="3240" w:type="dxa"/>
            <w:tcBorders>
              <w:top w:val="single" w:sz="4" w:space="0" w:color="F4B084"/>
              <w:left w:val="nil"/>
              <w:bottom w:val="single" w:sz="4" w:space="0" w:color="F4B084"/>
              <w:right w:val="single" w:sz="4" w:space="0" w:color="F4B084"/>
            </w:tcBorders>
            <w:shd w:val="clear" w:color="FCE4D6" w:fill="FCE4D6"/>
            <w:noWrap/>
            <w:vAlign w:val="bottom"/>
            <w:hideMark/>
          </w:tcPr>
          <w:p w14:paraId="6294B1EC" w14:textId="0F850816"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15,425,273 </w:t>
            </w:r>
          </w:p>
        </w:tc>
      </w:tr>
      <w:tr w:rsidR="004A61FA" w:rsidRPr="000F697B" w14:paraId="43194AF3" w14:textId="77777777" w:rsidTr="003E58F8">
        <w:trPr>
          <w:trHeight w:val="255"/>
        </w:trPr>
        <w:tc>
          <w:tcPr>
            <w:tcW w:w="6115" w:type="dxa"/>
            <w:tcBorders>
              <w:top w:val="single" w:sz="4" w:space="0" w:color="F4B084"/>
              <w:left w:val="single" w:sz="4" w:space="0" w:color="F4B084"/>
              <w:bottom w:val="single" w:sz="4" w:space="0" w:color="F4B084"/>
              <w:right w:val="nil"/>
            </w:tcBorders>
            <w:shd w:val="clear" w:color="auto" w:fill="auto"/>
            <w:noWrap/>
            <w:vAlign w:val="bottom"/>
            <w:hideMark/>
          </w:tcPr>
          <w:p w14:paraId="63CEE3F2" w14:textId="2911CBD1"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T-Mobile USA, Inc</w:t>
            </w:r>
          </w:p>
        </w:tc>
        <w:tc>
          <w:tcPr>
            <w:tcW w:w="3240" w:type="dxa"/>
            <w:tcBorders>
              <w:top w:val="single" w:sz="4" w:space="0" w:color="F4B084"/>
              <w:left w:val="nil"/>
              <w:bottom w:val="single" w:sz="4" w:space="0" w:color="F4B084"/>
              <w:right w:val="single" w:sz="4" w:space="0" w:color="F4B084"/>
            </w:tcBorders>
            <w:shd w:val="clear" w:color="auto" w:fill="auto"/>
            <w:noWrap/>
            <w:vAlign w:val="bottom"/>
            <w:hideMark/>
          </w:tcPr>
          <w:p w14:paraId="130BB487" w14:textId="7D93F1A8"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14,917,095 </w:t>
            </w:r>
          </w:p>
        </w:tc>
      </w:tr>
      <w:tr w:rsidR="004A61FA" w:rsidRPr="000F697B" w14:paraId="60A71BB7" w14:textId="77777777" w:rsidTr="003E58F8">
        <w:trPr>
          <w:trHeight w:val="255"/>
        </w:trPr>
        <w:tc>
          <w:tcPr>
            <w:tcW w:w="6115" w:type="dxa"/>
            <w:tcBorders>
              <w:top w:val="single" w:sz="4" w:space="0" w:color="F4B084"/>
              <w:left w:val="single" w:sz="4" w:space="0" w:color="F4B084"/>
              <w:bottom w:val="single" w:sz="4" w:space="0" w:color="F4B084"/>
              <w:right w:val="nil"/>
            </w:tcBorders>
            <w:shd w:val="clear" w:color="FCE4D6" w:fill="FCE4D6"/>
            <w:noWrap/>
            <w:vAlign w:val="bottom"/>
            <w:hideMark/>
          </w:tcPr>
          <w:p w14:paraId="3C5D370D" w14:textId="276091C3"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Insight Public Sector, Inc.</w:t>
            </w:r>
          </w:p>
        </w:tc>
        <w:tc>
          <w:tcPr>
            <w:tcW w:w="3240" w:type="dxa"/>
            <w:tcBorders>
              <w:top w:val="single" w:sz="4" w:space="0" w:color="F4B084"/>
              <w:left w:val="nil"/>
              <w:bottom w:val="single" w:sz="4" w:space="0" w:color="F4B084"/>
              <w:right w:val="single" w:sz="4" w:space="0" w:color="F4B084"/>
            </w:tcBorders>
            <w:shd w:val="clear" w:color="FCE4D6" w:fill="FCE4D6"/>
            <w:noWrap/>
            <w:vAlign w:val="bottom"/>
            <w:hideMark/>
          </w:tcPr>
          <w:p w14:paraId="5F15C157" w14:textId="2FAAA6AE"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8,613,575 </w:t>
            </w:r>
          </w:p>
        </w:tc>
      </w:tr>
      <w:tr w:rsidR="004A61FA" w:rsidRPr="000F697B" w14:paraId="184157A3" w14:textId="77777777" w:rsidTr="003E58F8">
        <w:trPr>
          <w:trHeight w:val="255"/>
        </w:trPr>
        <w:tc>
          <w:tcPr>
            <w:tcW w:w="6115" w:type="dxa"/>
            <w:tcBorders>
              <w:top w:val="single" w:sz="4" w:space="0" w:color="F4B084"/>
              <w:left w:val="single" w:sz="4" w:space="0" w:color="F4B084"/>
              <w:bottom w:val="single" w:sz="4" w:space="0" w:color="F4B084"/>
              <w:right w:val="nil"/>
            </w:tcBorders>
            <w:shd w:val="clear" w:color="auto" w:fill="auto"/>
            <w:noWrap/>
            <w:vAlign w:val="bottom"/>
            <w:hideMark/>
          </w:tcPr>
          <w:p w14:paraId="05DF3804" w14:textId="554FD1A1" w:rsidR="004A61FA" w:rsidRPr="000F697B" w:rsidRDefault="004A61FA" w:rsidP="004A61FA">
            <w:pPr>
              <w:widowControl/>
              <w:autoSpaceDE/>
              <w:autoSpaceDN/>
              <w:adjustRightInd/>
              <w:rPr>
                <w:rFonts w:eastAsia="Times New Roman" w:cs="Arial"/>
                <w:color w:val="000000"/>
                <w:szCs w:val="22"/>
              </w:rPr>
            </w:pPr>
            <w:r>
              <w:rPr>
                <w:rFonts w:cs="Arial"/>
                <w:color w:val="000000"/>
                <w:szCs w:val="22"/>
              </w:rPr>
              <w:t>AT&amp;T Mobility</w:t>
            </w:r>
          </w:p>
        </w:tc>
        <w:tc>
          <w:tcPr>
            <w:tcW w:w="3240" w:type="dxa"/>
            <w:tcBorders>
              <w:top w:val="single" w:sz="4" w:space="0" w:color="F4B084"/>
              <w:left w:val="nil"/>
              <w:bottom w:val="single" w:sz="4" w:space="0" w:color="F4B084"/>
              <w:right w:val="single" w:sz="4" w:space="0" w:color="F4B084"/>
            </w:tcBorders>
            <w:shd w:val="clear" w:color="auto" w:fill="auto"/>
            <w:noWrap/>
            <w:vAlign w:val="bottom"/>
            <w:hideMark/>
          </w:tcPr>
          <w:p w14:paraId="5F74A095" w14:textId="40C9235F" w:rsidR="004A61FA" w:rsidRPr="000F697B" w:rsidRDefault="004A61FA" w:rsidP="003E58F8">
            <w:pPr>
              <w:widowControl/>
              <w:autoSpaceDE/>
              <w:autoSpaceDN/>
              <w:adjustRightInd/>
              <w:jc w:val="right"/>
              <w:rPr>
                <w:rFonts w:eastAsia="Times New Roman" w:cs="Arial"/>
                <w:color w:val="000000"/>
                <w:szCs w:val="22"/>
              </w:rPr>
            </w:pPr>
            <w:r>
              <w:rPr>
                <w:rFonts w:cs="Arial"/>
                <w:color w:val="000000"/>
                <w:szCs w:val="22"/>
              </w:rPr>
              <w:t xml:space="preserve"> $               7,000,612 </w:t>
            </w:r>
          </w:p>
        </w:tc>
      </w:tr>
    </w:tbl>
    <w:p w14:paraId="10BB8CD1" w14:textId="77777777" w:rsidR="00657788" w:rsidRDefault="00657788" w:rsidP="00E749F5">
      <w:pPr>
        <w:rPr>
          <w:rFonts w:cs="Arial"/>
          <w:b/>
          <w:szCs w:val="20"/>
        </w:rPr>
      </w:pPr>
    </w:p>
    <w:p w14:paraId="392AFA88" w14:textId="1E828881" w:rsidR="00E749F5" w:rsidRPr="000F697B" w:rsidRDefault="00E749F5" w:rsidP="00E749F5">
      <w:pPr>
        <w:rPr>
          <w:rFonts w:cs="Arial"/>
          <w:b/>
          <w:szCs w:val="20"/>
        </w:rPr>
      </w:pPr>
      <w:r w:rsidRPr="008569EB">
        <w:rPr>
          <w:rFonts w:cs="Arial"/>
          <w:b/>
          <w:szCs w:val="20"/>
        </w:rPr>
        <w:t>IT Master Contract/Non-IT Master Contract Com</w:t>
      </w:r>
      <w:r w:rsidRPr="000F697B">
        <w:rPr>
          <w:rFonts w:cs="Arial"/>
          <w:b/>
          <w:szCs w:val="20"/>
        </w:rPr>
        <w:t>parison</w:t>
      </w:r>
    </w:p>
    <w:p w14:paraId="40D9F964" w14:textId="77777777" w:rsidR="00E749F5" w:rsidRPr="000F697B" w:rsidRDefault="00E749F5" w:rsidP="00E749F5">
      <w:pPr>
        <w:rPr>
          <w:rFonts w:cs="Arial"/>
          <w:b/>
          <w:szCs w:val="22"/>
        </w:rPr>
      </w:pPr>
    </w:p>
    <w:p w14:paraId="187D7A84" w14:textId="33B7EAEE" w:rsidR="002D7C77" w:rsidRDefault="00E749F5" w:rsidP="002D7C77">
      <w:pPr>
        <w:spacing w:after="120"/>
        <w:rPr>
          <w:rFonts w:cs="Arial"/>
          <w:b/>
          <w:szCs w:val="20"/>
        </w:rPr>
      </w:pPr>
      <w:r w:rsidRPr="000F697B">
        <w:rPr>
          <w:rFonts w:cs="Arial"/>
          <w:szCs w:val="22"/>
        </w:rPr>
        <w:t xml:space="preserve">The following tables compare IT </w:t>
      </w:r>
      <w:r w:rsidR="008A3066">
        <w:rPr>
          <w:rFonts w:cs="Arial"/>
          <w:szCs w:val="22"/>
        </w:rPr>
        <w:t>m</w:t>
      </w:r>
      <w:r w:rsidRPr="000F697B">
        <w:rPr>
          <w:rFonts w:cs="Arial"/>
          <w:szCs w:val="22"/>
        </w:rPr>
        <w:t xml:space="preserve">aster </w:t>
      </w:r>
      <w:r w:rsidR="008A3066">
        <w:rPr>
          <w:rFonts w:cs="Arial"/>
          <w:szCs w:val="22"/>
        </w:rPr>
        <w:t>c</w:t>
      </w:r>
      <w:r w:rsidRPr="000F697B">
        <w:rPr>
          <w:rFonts w:cs="Arial"/>
          <w:szCs w:val="22"/>
        </w:rPr>
        <w:t xml:space="preserve">ontract sales to the </w:t>
      </w:r>
      <w:proofErr w:type="gramStart"/>
      <w:r w:rsidRPr="000F697B">
        <w:rPr>
          <w:rFonts w:cs="Arial"/>
          <w:szCs w:val="22"/>
        </w:rPr>
        <w:t>Non-IT</w:t>
      </w:r>
      <w:proofErr w:type="gramEnd"/>
      <w:r w:rsidRPr="000F697B">
        <w:rPr>
          <w:rFonts w:cs="Arial"/>
          <w:szCs w:val="22"/>
        </w:rPr>
        <w:t xml:space="preserve"> </w:t>
      </w:r>
      <w:r w:rsidR="008A3066">
        <w:rPr>
          <w:rFonts w:cs="Arial"/>
          <w:szCs w:val="22"/>
        </w:rPr>
        <w:t>m</w:t>
      </w:r>
      <w:r w:rsidRPr="000F697B">
        <w:rPr>
          <w:rFonts w:cs="Arial"/>
          <w:szCs w:val="22"/>
        </w:rPr>
        <w:t xml:space="preserve">aster </w:t>
      </w:r>
      <w:r w:rsidR="008A3066">
        <w:rPr>
          <w:rFonts w:cs="Arial"/>
          <w:szCs w:val="22"/>
        </w:rPr>
        <w:t>c</w:t>
      </w:r>
      <w:r w:rsidRPr="000F697B">
        <w:rPr>
          <w:rFonts w:cs="Arial"/>
          <w:szCs w:val="22"/>
        </w:rPr>
        <w:t>o</w:t>
      </w:r>
      <w:r w:rsidR="00433D1B">
        <w:rPr>
          <w:rFonts w:cs="Arial"/>
          <w:szCs w:val="22"/>
        </w:rPr>
        <w:t>ntract sales for fiscal years 18</w:t>
      </w:r>
      <w:r w:rsidRPr="000F697B">
        <w:rPr>
          <w:rFonts w:cs="Arial"/>
          <w:szCs w:val="22"/>
        </w:rPr>
        <w:t xml:space="preserve"> through </w:t>
      </w:r>
      <w:r w:rsidR="00130D97" w:rsidRPr="000F697B">
        <w:rPr>
          <w:rFonts w:cs="Arial"/>
          <w:szCs w:val="22"/>
        </w:rPr>
        <w:t>2</w:t>
      </w:r>
      <w:r w:rsidR="00433D1B">
        <w:rPr>
          <w:rFonts w:cs="Arial"/>
          <w:szCs w:val="22"/>
        </w:rPr>
        <w:t>1</w:t>
      </w:r>
      <w:r w:rsidRPr="000F697B">
        <w:rPr>
          <w:rFonts w:cs="Arial"/>
          <w:szCs w:val="22"/>
        </w:rPr>
        <w:t>. Of the total sales</w:t>
      </w:r>
      <w:r w:rsidR="00130D97" w:rsidRPr="000F697B">
        <w:rPr>
          <w:rFonts w:cs="Arial"/>
          <w:szCs w:val="22"/>
        </w:rPr>
        <w:t xml:space="preserve"> in FY2</w:t>
      </w:r>
      <w:r w:rsidR="00433D1B">
        <w:rPr>
          <w:rFonts w:cs="Arial"/>
          <w:szCs w:val="22"/>
        </w:rPr>
        <w:t>1</w:t>
      </w:r>
      <w:r w:rsidRPr="000F697B">
        <w:rPr>
          <w:rFonts w:cs="Arial"/>
          <w:szCs w:val="22"/>
        </w:rPr>
        <w:t xml:space="preserve">, IT </w:t>
      </w:r>
      <w:r w:rsidR="008A3066">
        <w:rPr>
          <w:rFonts w:cs="Arial"/>
          <w:szCs w:val="22"/>
        </w:rPr>
        <w:t>m</w:t>
      </w:r>
      <w:r w:rsidRPr="000F697B">
        <w:rPr>
          <w:rFonts w:cs="Arial"/>
          <w:szCs w:val="22"/>
        </w:rPr>
        <w:t>aste</w:t>
      </w:r>
      <w:r w:rsidR="00130D97" w:rsidRPr="000F697B">
        <w:rPr>
          <w:rFonts w:cs="Arial"/>
          <w:szCs w:val="22"/>
        </w:rPr>
        <w:t xml:space="preserve">r </w:t>
      </w:r>
      <w:r w:rsidR="008A3066">
        <w:rPr>
          <w:rFonts w:cs="Arial"/>
          <w:szCs w:val="22"/>
        </w:rPr>
        <w:t>c</w:t>
      </w:r>
      <w:r w:rsidR="00130D97" w:rsidRPr="000F697B">
        <w:rPr>
          <w:rFonts w:cs="Arial"/>
          <w:szCs w:val="22"/>
        </w:rPr>
        <w:t xml:space="preserve">ontract sales average about </w:t>
      </w:r>
      <w:r w:rsidRPr="000F697B">
        <w:rPr>
          <w:rFonts w:cs="Arial"/>
          <w:szCs w:val="22"/>
        </w:rPr>
        <w:t>4</w:t>
      </w:r>
      <w:r w:rsidR="00433D1B">
        <w:rPr>
          <w:rFonts w:cs="Arial"/>
          <w:szCs w:val="22"/>
        </w:rPr>
        <w:t>2</w:t>
      </w:r>
      <w:r w:rsidR="00104A6D">
        <w:rPr>
          <w:rFonts w:cs="Arial"/>
          <w:szCs w:val="22"/>
        </w:rPr>
        <w:t>%</w:t>
      </w:r>
      <w:r w:rsidR="001C7888">
        <w:rPr>
          <w:rFonts w:cs="Arial"/>
          <w:szCs w:val="22"/>
        </w:rPr>
        <w:t xml:space="preserve"> </w:t>
      </w:r>
      <w:r w:rsidR="00130D97" w:rsidRPr="000F697B">
        <w:rPr>
          <w:rFonts w:cs="Arial"/>
          <w:szCs w:val="22"/>
        </w:rPr>
        <w:t>for all customers</w:t>
      </w:r>
      <w:r w:rsidR="001C7888">
        <w:rPr>
          <w:rFonts w:cs="Arial"/>
          <w:szCs w:val="22"/>
        </w:rPr>
        <w:t>,</w:t>
      </w:r>
      <w:r w:rsidR="00433D1B">
        <w:rPr>
          <w:rFonts w:cs="Arial"/>
          <w:szCs w:val="22"/>
        </w:rPr>
        <w:t xml:space="preserve"> 45</w:t>
      </w:r>
      <w:r w:rsidR="00104A6D">
        <w:rPr>
          <w:rFonts w:cs="Arial"/>
          <w:szCs w:val="22"/>
        </w:rPr>
        <w:t>%</w:t>
      </w:r>
      <w:r w:rsidRPr="000F697B">
        <w:rPr>
          <w:rFonts w:cs="Arial"/>
          <w:szCs w:val="22"/>
        </w:rPr>
        <w:t xml:space="preserve"> for state agenc</w:t>
      </w:r>
      <w:r w:rsidR="00130D97" w:rsidRPr="000F697B">
        <w:rPr>
          <w:rFonts w:cs="Arial"/>
          <w:szCs w:val="22"/>
        </w:rPr>
        <w:t>ies and higher education</w:t>
      </w:r>
      <w:r w:rsidR="001C7888">
        <w:rPr>
          <w:rFonts w:cs="Arial"/>
          <w:szCs w:val="22"/>
        </w:rPr>
        <w:t>,</w:t>
      </w:r>
      <w:r w:rsidR="00130D97" w:rsidRPr="000F697B">
        <w:rPr>
          <w:rFonts w:cs="Arial"/>
          <w:szCs w:val="22"/>
        </w:rPr>
        <w:t xml:space="preserve"> and </w:t>
      </w:r>
      <w:r w:rsidR="00433D1B">
        <w:rPr>
          <w:rFonts w:cs="Arial"/>
          <w:szCs w:val="22"/>
        </w:rPr>
        <w:t>55</w:t>
      </w:r>
      <w:r w:rsidR="00104A6D">
        <w:rPr>
          <w:rFonts w:cs="Arial"/>
          <w:szCs w:val="22"/>
        </w:rPr>
        <w:t>%</w:t>
      </w:r>
      <w:r w:rsidRPr="000F697B">
        <w:rPr>
          <w:rFonts w:cs="Arial"/>
          <w:szCs w:val="22"/>
        </w:rPr>
        <w:t xml:space="preserve"> for political subdivision</w:t>
      </w:r>
      <w:r w:rsidR="00BC2230">
        <w:rPr>
          <w:rFonts w:cs="Arial"/>
          <w:szCs w:val="22"/>
        </w:rPr>
        <w:t>s</w:t>
      </w:r>
      <w:r w:rsidRPr="000F697B">
        <w:rPr>
          <w:rFonts w:cs="Arial"/>
          <w:szCs w:val="22"/>
        </w:rPr>
        <w:t xml:space="preserve"> and qualified non-profits.</w:t>
      </w:r>
      <w:r w:rsidR="00B05303">
        <w:rPr>
          <w:rFonts w:cs="Arial"/>
          <w:b/>
          <w:szCs w:val="20"/>
        </w:rPr>
        <w:t xml:space="preserve"> </w:t>
      </w:r>
    </w:p>
    <w:p w14:paraId="69B6B018" w14:textId="69E5305E" w:rsidR="00E749F5" w:rsidRPr="000F697B" w:rsidRDefault="00E749F5" w:rsidP="002D7C77">
      <w:pPr>
        <w:spacing w:before="360" w:after="120"/>
        <w:rPr>
          <w:rFonts w:cs="Arial"/>
          <w:b/>
          <w:szCs w:val="20"/>
        </w:rPr>
      </w:pPr>
      <w:r w:rsidRPr="000F697B">
        <w:rPr>
          <w:rFonts w:cs="Arial"/>
          <w:b/>
          <w:szCs w:val="20"/>
        </w:rPr>
        <w:t xml:space="preserve">All Customer Summary </w:t>
      </w:r>
    </w:p>
    <w:p w14:paraId="208E875A" w14:textId="77777777" w:rsidR="00E749F5" w:rsidRPr="000F697B" w:rsidRDefault="00E749F5" w:rsidP="00E749F5">
      <w:pPr>
        <w:rPr>
          <w:rFonts w:cs="Arial"/>
          <w:sz w:val="20"/>
          <w:szCs w:val="20"/>
        </w:rPr>
      </w:pPr>
    </w:p>
    <w:tbl>
      <w:tblPr>
        <w:tblW w:w="5000" w:type="pct"/>
        <w:tblLook w:val="04A0" w:firstRow="1" w:lastRow="0" w:firstColumn="1" w:lastColumn="0" w:noHBand="0" w:noVBand="1"/>
      </w:tblPr>
      <w:tblGrid>
        <w:gridCol w:w="2460"/>
        <w:gridCol w:w="1603"/>
        <w:gridCol w:w="1603"/>
        <w:gridCol w:w="1842"/>
        <w:gridCol w:w="1842"/>
      </w:tblGrid>
      <w:tr w:rsidR="002D7C77" w:rsidRPr="002D7C77" w14:paraId="71F11F8E" w14:textId="77777777" w:rsidTr="00433D1B">
        <w:trPr>
          <w:trHeight w:val="300"/>
        </w:trPr>
        <w:tc>
          <w:tcPr>
            <w:tcW w:w="1315" w:type="pct"/>
            <w:tcBorders>
              <w:top w:val="single" w:sz="4" w:space="0" w:color="A5A5A5"/>
              <w:left w:val="single" w:sz="4" w:space="0" w:color="A5A5A5"/>
              <w:bottom w:val="nil"/>
              <w:right w:val="nil"/>
            </w:tcBorders>
            <w:shd w:val="clear" w:color="A5A5A5" w:fill="A5A5A5"/>
            <w:noWrap/>
            <w:vAlign w:val="bottom"/>
            <w:hideMark/>
          </w:tcPr>
          <w:p w14:paraId="67EDF331" w14:textId="77777777" w:rsidR="002D7C77" w:rsidRPr="002D7C77" w:rsidRDefault="002D7C77" w:rsidP="002D7C77">
            <w:pPr>
              <w:widowControl/>
              <w:autoSpaceDE/>
              <w:autoSpaceDN/>
              <w:adjustRightInd/>
              <w:rPr>
                <w:rFonts w:eastAsia="Times New Roman" w:cs="Arial"/>
                <w:b/>
                <w:bCs/>
                <w:color w:val="FFFFFF"/>
                <w:sz w:val="20"/>
                <w:szCs w:val="22"/>
              </w:rPr>
            </w:pPr>
            <w:r w:rsidRPr="002D7C77">
              <w:rPr>
                <w:rFonts w:eastAsia="Times New Roman" w:cs="Arial"/>
                <w:b/>
                <w:bCs/>
                <w:color w:val="FFFFFF"/>
                <w:sz w:val="20"/>
                <w:szCs w:val="22"/>
              </w:rPr>
              <w:t>Contract Type</w:t>
            </w:r>
          </w:p>
        </w:tc>
        <w:tc>
          <w:tcPr>
            <w:tcW w:w="857" w:type="pct"/>
            <w:tcBorders>
              <w:top w:val="single" w:sz="4" w:space="0" w:color="A5A5A5"/>
              <w:left w:val="nil"/>
              <w:bottom w:val="nil"/>
              <w:right w:val="nil"/>
            </w:tcBorders>
            <w:shd w:val="clear" w:color="A5A5A5" w:fill="A5A5A5"/>
            <w:noWrap/>
            <w:vAlign w:val="bottom"/>
            <w:hideMark/>
          </w:tcPr>
          <w:p w14:paraId="06BF1D71" w14:textId="77777777" w:rsidR="002D7C77" w:rsidRPr="002D7C77" w:rsidRDefault="002D7C77" w:rsidP="002D7C77">
            <w:pPr>
              <w:widowControl/>
              <w:autoSpaceDE/>
              <w:autoSpaceDN/>
              <w:adjustRightInd/>
              <w:jc w:val="center"/>
              <w:rPr>
                <w:rFonts w:eastAsia="Times New Roman" w:cs="Arial"/>
                <w:b/>
                <w:bCs/>
                <w:color w:val="FFFFFF"/>
                <w:sz w:val="20"/>
                <w:szCs w:val="22"/>
              </w:rPr>
            </w:pPr>
            <w:r w:rsidRPr="002D7C77">
              <w:rPr>
                <w:rFonts w:eastAsia="Times New Roman" w:cs="Arial"/>
                <w:b/>
                <w:bCs/>
                <w:color w:val="FFFFFF"/>
                <w:sz w:val="20"/>
                <w:szCs w:val="22"/>
              </w:rPr>
              <w:t>FY18</w:t>
            </w:r>
          </w:p>
        </w:tc>
        <w:tc>
          <w:tcPr>
            <w:tcW w:w="857" w:type="pct"/>
            <w:tcBorders>
              <w:top w:val="single" w:sz="4" w:space="0" w:color="A5A5A5"/>
              <w:left w:val="nil"/>
              <w:bottom w:val="nil"/>
              <w:right w:val="nil"/>
            </w:tcBorders>
            <w:shd w:val="clear" w:color="A5A5A5" w:fill="A5A5A5"/>
            <w:noWrap/>
            <w:vAlign w:val="bottom"/>
            <w:hideMark/>
          </w:tcPr>
          <w:p w14:paraId="6CD91ABD" w14:textId="77777777" w:rsidR="002D7C77" w:rsidRPr="002D7C77" w:rsidRDefault="002D7C77" w:rsidP="002D7C77">
            <w:pPr>
              <w:widowControl/>
              <w:autoSpaceDE/>
              <w:autoSpaceDN/>
              <w:adjustRightInd/>
              <w:jc w:val="center"/>
              <w:rPr>
                <w:rFonts w:eastAsia="Times New Roman" w:cs="Arial"/>
                <w:b/>
                <w:bCs/>
                <w:color w:val="FFFFFF"/>
                <w:sz w:val="20"/>
                <w:szCs w:val="22"/>
              </w:rPr>
            </w:pPr>
            <w:r w:rsidRPr="002D7C77">
              <w:rPr>
                <w:rFonts w:eastAsia="Times New Roman" w:cs="Arial"/>
                <w:b/>
                <w:bCs/>
                <w:color w:val="FFFFFF"/>
                <w:sz w:val="20"/>
                <w:szCs w:val="22"/>
              </w:rPr>
              <w:t>FY19</w:t>
            </w:r>
          </w:p>
        </w:tc>
        <w:tc>
          <w:tcPr>
            <w:tcW w:w="985" w:type="pct"/>
            <w:tcBorders>
              <w:top w:val="single" w:sz="4" w:space="0" w:color="A5A5A5"/>
              <w:left w:val="nil"/>
              <w:bottom w:val="nil"/>
              <w:right w:val="nil"/>
            </w:tcBorders>
            <w:shd w:val="clear" w:color="A5A5A5" w:fill="A5A5A5"/>
            <w:noWrap/>
            <w:vAlign w:val="bottom"/>
            <w:hideMark/>
          </w:tcPr>
          <w:p w14:paraId="5FE3C8AF" w14:textId="77777777" w:rsidR="002D7C77" w:rsidRPr="002D7C77" w:rsidRDefault="002D7C77" w:rsidP="002D7C77">
            <w:pPr>
              <w:widowControl/>
              <w:autoSpaceDE/>
              <w:autoSpaceDN/>
              <w:adjustRightInd/>
              <w:jc w:val="center"/>
              <w:rPr>
                <w:rFonts w:eastAsia="Times New Roman" w:cs="Arial"/>
                <w:b/>
                <w:bCs/>
                <w:color w:val="FFFFFF"/>
                <w:sz w:val="20"/>
                <w:szCs w:val="22"/>
              </w:rPr>
            </w:pPr>
            <w:r w:rsidRPr="002D7C77">
              <w:rPr>
                <w:rFonts w:eastAsia="Times New Roman" w:cs="Arial"/>
                <w:b/>
                <w:bCs/>
                <w:color w:val="FFFFFF"/>
                <w:sz w:val="20"/>
                <w:szCs w:val="22"/>
              </w:rPr>
              <w:t>FY20</w:t>
            </w:r>
          </w:p>
        </w:tc>
        <w:tc>
          <w:tcPr>
            <w:tcW w:w="985" w:type="pct"/>
            <w:tcBorders>
              <w:top w:val="single" w:sz="4" w:space="0" w:color="A5A5A5"/>
              <w:left w:val="nil"/>
              <w:bottom w:val="nil"/>
              <w:right w:val="single" w:sz="4" w:space="0" w:color="A5A5A5"/>
            </w:tcBorders>
            <w:shd w:val="clear" w:color="A5A5A5" w:fill="A5A5A5"/>
            <w:noWrap/>
            <w:vAlign w:val="bottom"/>
            <w:hideMark/>
          </w:tcPr>
          <w:p w14:paraId="4096BD83" w14:textId="77777777" w:rsidR="002D7C77" w:rsidRPr="002D7C77" w:rsidRDefault="002D7C77" w:rsidP="002D7C77">
            <w:pPr>
              <w:widowControl/>
              <w:autoSpaceDE/>
              <w:autoSpaceDN/>
              <w:adjustRightInd/>
              <w:jc w:val="center"/>
              <w:rPr>
                <w:rFonts w:eastAsia="Times New Roman" w:cs="Arial"/>
                <w:b/>
                <w:bCs/>
                <w:color w:val="FFFFFF"/>
                <w:sz w:val="20"/>
                <w:szCs w:val="22"/>
              </w:rPr>
            </w:pPr>
            <w:r w:rsidRPr="002D7C77">
              <w:rPr>
                <w:rFonts w:eastAsia="Times New Roman" w:cs="Arial"/>
                <w:b/>
                <w:bCs/>
                <w:color w:val="FFFFFF"/>
                <w:sz w:val="20"/>
                <w:szCs w:val="22"/>
              </w:rPr>
              <w:t>FY21</w:t>
            </w:r>
          </w:p>
        </w:tc>
      </w:tr>
      <w:tr w:rsidR="002D7C77" w:rsidRPr="002D7C77" w14:paraId="2B6184F9" w14:textId="77777777" w:rsidTr="00433D1B">
        <w:trPr>
          <w:trHeight w:val="285"/>
        </w:trPr>
        <w:tc>
          <w:tcPr>
            <w:tcW w:w="1315" w:type="pct"/>
            <w:tcBorders>
              <w:top w:val="single" w:sz="4" w:space="0" w:color="A5A5A5"/>
              <w:left w:val="single" w:sz="4" w:space="0" w:color="A5A5A5"/>
              <w:bottom w:val="nil"/>
              <w:right w:val="nil"/>
            </w:tcBorders>
            <w:shd w:val="clear" w:color="auto" w:fill="auto"/>
            <w:noWrap/>
            <w:vAlign w:val="bottom"/>
            <w:hideMark/>
          </w:tcPr>
          <w:p w14:paraId="4A548A0A" w14:textId="2DBEF20E" w:rsidR="002D7C77" w:rsidRPr="002D7C77" w:rsidRDefault="002D7C77" w:rsidP="002D7C77">
            <w:pPr>
              <w:widowControl/>
              <w:autoSpaceDE/>
              <w:autoSpaceDN/>
              <w:adjustRightInd/>
              <w:rPr>
                <w:rFonts w:eastAsia="Times New Roman" w:cs="Arial"/>
                <w:color w:val="000000"/>
                <w:sz w:val="20"/>
                <w:szCs w:val="22"/>
              </w:rPr>
            </w:pPr>
            <w:r w:rsidRPr="002D7C77">
              <w:rPr>
                <w:rFonts w:eastAsia="Times New Roman" w:cs="Arial"/>
                <w:color w:val="000000"/>
                <w:sz w:val="20"/>
                <w:szCs w:val="22"/>
              </w:rPr>
              <w:t xml:space="preserve">IT </w:t>
            </w:r>
            <w:r w:rsidR="0030367F">
              <w:rPr>
                <w:rFonts w:eastAsia="Times New Roman" w:cs="Arial"/>
                <w:color w:val="000000"/>
                <w:sz w:val="20"/>
                <w:szCs w:val="22"/>
              </w:rPr>
              <w:t xml:space="preserve">Master </w:t>
            </w:r>
            <w:r w:rsidRPr="002D7C77">
              <w:rPr>
                <w:rFonts w:eastAsia="Times New Roman" w:cs="Arial"/>
                <w:color w:val="000000"/>
                <w:sz w:val="20"/>
                <w:szCs w:val="22"/>
              </w:rPr>
              <w:t>Contract</w:t>
            </w:r>
          </w:p>
        </w:tc>
        <w:tc>
          <w:tcPr>
            <w:tcW w:w="857" w:type="pct"/>
            <w:tcBorders>
              <w:top w:val="single" w:sz="4" w:space="0" w:color="A5A5A5"/>
              <w:left w:val="nil"/>
              <w:bottom w:val="nil"/>
              <w:right w:val="nil"/>
            </w:tcBorders>
            <w:shd w:val="clear" w:color="auto" w:fill="auto"/>
            <w:noWrap/>
            <w:vAlign w:val="bottom"/>
            <w:hideMark/>
          </w:tcPr>
          <w:p w14:paraId="4CA56470" w14:textId="77777777" w:rsidR="002D7C77" w:rsidRPr="002D7C77" w:rsidRDefault="002D7C77" w:rsidP="002D7C77">
            <w:pPr>
              <w:widowControl/>
              <w:autoSpaceDE/>
              <w:autoSpaceDN/>
              <w:adjustRightInd/>
              <w:jc w:val="right"/>
              <w:rPr>
                <w:rFonts w:eastAsia="Times New Roman" w:cs="Arial"/>
                <w:color w:val="000000"/>
                <w:sz w:val="20"/>
                <w:szCs w:val="22"/>
              </w:rPr>
            </w:pPr>
            <w:r w:rsidRPr="002D7C77">
              <w:rPr>
                <w:rFonts w:eastAsia="Times New Roman" w:cs="Arial"/>
                <w:color w:val="000000"/>
                <w:sz w:val="20"/>
                <w:szCs w:val="22"/>
              </w:rPr>
              <w:t>416,566,971</w:t>
            </w:r>
          </w:p>
        </w:tc>
        <w:tc>
          <w:tcPr>
            <w:tcW w:w="857" w:type="pct"/>
            <w:tcBorders>
              <w:top w:val="single" w:sz="4" w:space="0" w:color="A5A5A5"/>
              <w:left w:val="nil"/>
              <w:bottom w:val="nil"/>
              <w:right w:val="nil"/>
            </w:tcBorders>
            <w:shd w:val="clear" w:color="auto" w:fill="auto"/>
            <w:noWrap/>
            <w:vAlign w:val="bottom"/>
            <w:hideMark/>
          </w:tcPr>
          <w:p w14:paraId="000B096A" w14:textId="77777777" w:rsidR="002D7C77" w:rsidRPr="002D7C77" w:rsidRDefault="002D7C77" w:rsidP="002D7C77">
            <w:pPr>
              <w:widowControl/>
              <w:autoSpaceDE/>
              <w:autoSpaceDN/>
              <w:adjustRightInd/>
              <w:jc w:val="right"/>
              <w:rPr>
                <w:rFonts w:eastAsia="Times New Roman" w:cs="Arial"/>
                <w:color w:val="000000"/>
                <w:sz w:val="20"/>
                <w:szCs w:val="22"/>
              </w:rPr>
            </w:pPr>
            <w:r w:rsidRPr="002D7C77">
              <w:rPr>
                <w:rFonts w:eastAsia="Times New Roman" w:cs="Arial"/>
                <w:color w:val="000000"/>
                <w:sz w:val="20"/>
                <w:szCs w:val="22"/>
              </w:rPr>
              <w:t>540,760,518</w:t>
            </w:r>
          </w:p>
        </w:tc>
        <w:tc>
          <w:tcPr>
            <w:tcW w:w="985" w:type="pct"/>
            <w:tcBorders>
              <w:top w:val="single" w:sz="4" w:space="0" w:color="A5A5A5"/>
              <w:left w:val="nil"/>
              <w:bottom w:val="nil"/>
              <w:right w:val="nil"/>
            </w:tcBorders>
            <w:shd w:val="clear" w:color="auto" w:fill="auto"/>
            <w:noWrap/>
            <w:vAlign w:val="bottom"/>
            <w:hideMark/>
          </w:tcPr>
          <w:p w14:paraId="4274CA20" w14:textId="30395B4F" w:rsidR="002D7C77" w:rsidRPr="002D7C77" w:rsidRDefault="00F311C5" w:rsidP="00F311C5">
            <w:pPr>
              <w:widowControl/>
              <w:autoSpaceDE/>
              <w:autoSpaceDN/>
              <w:adjustRightInd/>
              <w:rPr>
                <w:rFonts w:eastAsia="Times New Roman" w:cs="Arial"/>
                <w:color w:val="000000"/>
                <w:sz w:val="20"/>
                <w:szCs w:val="22"/>
              </w:rPr>
            </w:pPr>
            <w:r>
              <w:rPr>
                <w:rFonts w:eastAsia="Times New Roman" w:cs="Arial"/>
                <w:color w:val="000000"/>
                <w:sz w:val="20"/>
                <w:szCs w:val="22"/>
              </w:rPr>
              <w:t xml:space="preserve">       </w:t>
            </w:r>
            <w:r w:rsidR="002D7C77" w:rsidRPr="002D7C77">
              <w:rPr>
                <w:rFonts w:eastAsia="Times New Roman" w:cs="Arial"/>
                <w:color w:val="000000"/>
                <w:sz w:val="20"/>
                <w:szCs w:val="22"/>
              </w:rPr>
              <w:t xml:space="preserve">574,197,408 </w:t>
            </w:r>
          </w:p>
        </w:tc>
        <w:tc>
          <w:tcPr>
            <w:tcW w:w="985" w:type="pct"/>
            <w:tcBorders>
              <w:top w:val="single" w:sz="4" w:space="0" w:color="A5A5A5"/>
              <w:left w:val="nil"/>
              <w:bottom w:val="nil"/>
              <w:right w:val="single" w:sz="4" w:space="0" w:color="A5A5A5"/>
            </w:tcBorders>
            <w:shd w:val="clear" w:color="auto" w:fill="auto"/>
            <w:noWrap/>
            <w:vAlign w:val="bottom"/>
            <w:hideMark/>
          </w:tcPr>
          <w:p w14:paraId="157B0452" w14:textId="4B320212" w:rsidR="002D7C77" w:rsidRPr="002D7C77" w:rsidRDefault="002D7C77" w:rsidP="00F311C5">
            <w:pPr>
              <w:widowControl/>
              <w:autoSpaceDE/>
              <w:autoSpaceDN/>
              <w:adjustRightInd/>
              <w:rPr>
                <w:rFonts w:eastAsia="Times New Roman" w:cs="Arial"/>
                <w:color w:val="000000"/>
                <w:sz w:val="20"/>
                <w:szCs w:val="22"/>
              </w:rPr>
            </w:pPr>
            <w:r w:rsidRPr="002D7C77">
              <w:rPr>
                <w:rFonts w:eastAsia="Times New Roman" w:cs="Arial"/>
                <w:color w:val="000000"/>
                <w:sz w:val="20"/>
                <w:szCs w:val="22"/>
              </w:rPr>
              <w:t xml:space="preserve">    </w:t>
            </w:r>
            <w:r w:rsidR="00F311C5">
              <w:rPr>
                <w:rFonts w:eastAsia="Times New Roman" w:cs="Arial"/>
                <w:color w:val="000000"/>
                <w:sz w:val="20"/>
                <w:szCs w:val="22"/>
              </w:rPr>
              <w:t xml:space="preserve">  </w:t>
            </w:r>
            <w:r w:rsidRPr="002D7C77">
              <w:rPr>
                <w:rFonts w:eastAsia="Times New Roman" w:cs="Arial"/>
                <w:color w:val="000000"/>
                <w:sz w:val="20"/>
                <w:szCs w:val="22"/>
              </w:rPr>
              <w:t xml:space="preserve"> 602,231,588 </w:t>
            </w:r>
          </w:p>
        </w:tc>
      </w:tr>
      <w:tr w:rsidR="002D7C77" w:rsidRPr="002D7C77" w14:paraId="21496AF7" w14:textId="77777777" w:rsidTr="00433D1B">
        <w:trPr>
          <w:trHeight w:val="285"/>
        </w:trPr>
        <w:tc>
          <w:tcPr>
            <w:tcW w:w="1315" w:type="pct"/>
            <w:tcBorders>
              <w:top w:val="single" w:sz="4" w:space="0" w:color="A5A5A5"/>
              <w:left w:val="single" w:sz="4" w:space="0" w:color="A5A5A5"/>
              <w:bottom w:val="nil"/>
              <w:right w:val="nil"/>
            </w:tcBorders>
            <w:shd w:val="clear" w:color="auto" w:fill="auto"/>
            <w:noWrap/>
            <w:vAlign w:val="bottom"/>
            <w:hideMark/>
          </w:tcPr>
          <w:p w14:paraId="57370D5C" w14:textId="77777777" w:rsidR="002D7C77" w:rsidRPr="002D7C77" w:rsidRDefault="002D7C77" w:rsidP="002D7C77">
            <w:pPr>
              <w:widowControl/>
              <w:autoSpaceDE/>
              <w:autoSpaceDN/>
              <w:adjustRightInd/>
              <w:rPr>
                <w:rFonts w:eastAsia="Times New Roman" w:cs="Arial"/>
                <w:color w:val="000000"/>
                <w:sz w:val="20"/>
                <w:szCs w:val="22"/>
              </w:rPr>
            </w:pPr>
            <w:proofErr w:type="gramStart"/>
            <w:r w:rsidRPr="002D7C77">
              <w:rPr>
                <w:rFonts w:eastAsia="Times New Roman" w:cs="Arial"/>
                <w:color w:val="000000"/>
                <w:sz w:val="20"/>
                <w:szCs w:val="22"/>
              </w:rPr>
              <w:t>Non IT</w:t>
            </w:r>
            <w:proofErr w:type="gramEnd"/>
            <w:r w:rsidRPr="002D7C77">
              <w:rPr>
                <w:rFonts w:eastAsia="Times New Roman" w:cs="Arial"/>
                <w:color w:val="000000"/>
                <w:sz w:val="20"/>
                <w:szCs w:val="22"/>
              </w:rPr>
              <w:t xml:space="preserve"> Master Contract</w:t>
            </w:r>
          </w:p>
        </w:tc>
        <w:tc>
          <w:tcPr>
            <w:tcW w:w="857" w:type="pct"/>
            <w:tcBorders>
              <w:top w:val="single" w:sz="4" w:space="0" w:color="A5A5A5"/>
              <w:left w:val="nil"/>
              <w:bottom w:val="nil"/>
              <w:right w:val="nil"/>
            </w:tcBorders>
            <w:shd w:val="clear" w:color="auto" w:fill="auto"/>
            <w:noWrap/>
            <w:vAlign w:val="bottom"/>
            <w:hideMark/>
          </w:tcPr>
          <w:p w14:paraId="3E03F742" w14:textId="77777777" w:rsidR="002D7C77" w:rsidRPr="002D7C77" w:rsidRDefault="002D7C77" w:rsidP="002D7C77">
            <w:pPr>
              <w:widowControl/>
              <w:autoSpaceDE/>
              <w:autoSpaceDN/>
              <w:adjustRightInd/>
              <w:jc w:val="right"/>
              <w:rPr>
                <w:rFonts w:eastAsia="Times New Roman" w:cs="Arial"/>
                <w:color w:val="000000"/>
                <w:sz w:val="20"/>
                <w:szCs w:val="22"/>
              </w:rPr>
            </w:pPr>
            <w:r w:rsidRPr="002D7C77">
              <w:rPr>
                <w:rFonts w:eastAsia="Times New Roman" w:cs="Arial"/>
                <w:color w:val="000000"/>
                <w:sz w:val="20"/>
                <w:szCs w:val="22"/>
              </w:rPr>
              <w:t>936,323,849</w:t>
            </w:r>
          </w:p>
        </w:tc>
        <w:tc>
          <w:tcPr>
            <w:tcW w:w="857" w:type="pct"/>
            <w:tcBorders>
              <w:top w:val="single" w:sz="4" w:space="0" w:color="A5A5A5"/>
              <w:left w:val="nil"/>
              <w:bottom w:val="nil"/>
              <w:right w:val="nil"/>
            </w:tcBorders>
            <w:shd w:val="clear" w:color="auto" w:fill="auto"/>
            <w:noWrap/>
            <w:vAlign w:val="bottom"/>
            <w:hideMark/>
          </w:tcPr>
          <w:p w14:paraId="39316556" w14:textId="77777777" w:rsidR="002D7C77" w:rsidRPr="002D7C77" w:rsidRDefault="002D7C77" w:rsidP="002D7C77">
            <w:pPr>
              <w:widowControl/>
              <w:autoSpaceDE/>
              <w:autoSpaceDN/>
              <w:adjustRightInd/>
              <w:jc w:val="right"/>
              <w:rPr>
                <w:rFonts w:eastAsia="Times New Roman" w:cs="Arial"/>
                <w:color w:val="000000"/>
                <w:sz w:val="20"/>
                <w:szCs w:val="22"/>
              </w:rPr>
            </w:pPr>
            <w:r w:rsidRPr="002D7C77">
              <w:rPr>
                <w:rFonts w:eastAsia="Times New Roman" w:cs="Arial"/>
                <w:color w:val="000000"/>
                <w:sz w:val="20"/>
                <w:szCs w:val="22"/>
              </w:rPr>
              <w:t>867,148,685</w:t>
            </w:r>
          </w:p>
        </w:tc>
        <w:tc>
          <w:tcPr>
            <w:tcW w:w="985" w:type="pct"/>
            <w:tcBorders>
              <w:top w:val="single" w:sz="4" w:space="0" w:color="A5A5A5"/>
              <w:left w:val="nil"/>
              <w:bottom w:val="nil"/>
              <w:right w:val="nil"/>
            </w:tcBorders>
            <w:shd w:val="clear" w:color="auto" w:fill="auto"/>
            <w:noWrap/>
            <w:vAlign w:val="bottom"/>
            <w:hideMark/>
          </w:tcPr>
          <w:p w14:paraId="37095D39" w14:textId="6D57B6ED" w:rsidR="002D7C77" w:rsidRPr="002D7C77" w:rsidRDefault="002D7C77" w:rsidP="00F311C5">
            <w:pPr>
              <w:widowControl/>
              <w:autoSpaceDE/>
              <w:autoSpaceDN/>
              <w:adjustRightInd/>
              <w:rPr>
                <w:rFonts w:eastAsia="Times New Roman" w:cs="Arial"/>
                <w:color w:val="000000"/>
                <w:sz w:val="20"/>
                <w:szCs w:val="22"/>
              </w:rPr>
            </w:pPr>
            <w:r w:rsidRPr="002D7C77">
              <w:rPr>
                <w:rFonts w:eastAsia="Times New Roman" w:cs="Arial"/>
                <w:color w:val="000000"/>
                <w:sz w:val="20"/>
                <w:szCs w:val="22"/>
              </w:rPr>
              <w:t xml:space="preserve"> </w:t>
            </w:r>
            <w:r w:rsidR="00F311C5">
              <w:rPr>
                <w:rFonts w:eastAsia="Times New Roman" w:cs="Arial"/>
                <w:color w:val="000000"/>
                <w:sz w:val="20"/>
                <w:szCs w:val="22"/>
              </w:rPr>
              <w:t xml:space="preserve">  </w:t>
            </w:r>
            <w:r w:rsidRPr="002D7C77">
              <w:rPr>
                <w:rFonts w:eastAsia="Times New Roman" w:cs="Arial"/>
                <w:color w:val="000000"/>
                <w:sz w:val="20"/>
                <w:szCs w:val="22"/>
              </w:rPr>
              <w:t xml:space="preserve">    674,205,225 </w:t>
            </w:r>
          </w:p>
        </w:tc>
        <w:tc>
          <w:tcPr>
            <w:tcW w:w="985" w:type="pct"/>
            <w:tcBorders>
              <w:top w:val="single" w:sz="4" w:space="0" w:color="A5A5A5"/>
              <w:left w:val="nil"/>
              <w:bottom w:val="nil"/>
              <w:right w:val="single" w:sz="4" w:space="0" w:color="A5A5A5"/>
            </w:tcBorders>
            <w:shd w:val="clear" w:color="auto" w:fill="auto"/>
            <w:noWrap/>
            <w:vAlign w:val="bottom"/>
            <w:hideMark/>
          </w:tcPr>
          <w:p w14:paraId="7D4A2A65" w14:textId="46289400" w:rsidR="002D7C77" w:rsidRPr="002D7C77" w:rsidRDefault="002D7C77" w:rsidP="00F311C5">
            <w:pPr>
              <w:widowControl/>
              <w:autoSpaceDE/>
              <w:autoSpaceDN/>
              <w:adjustRightInd/>
              <w:rPr>
                <w:rFonts w:eastAsia="Times New Roman" w:cs="Arial"/>
                <w:color w:val="000000"/>
                <w:sz w:val="20"/>
                <w:szCs w:val="22"/>
              </w:rPr>
            </w:pPr>
            <w:r w:rsidRPr="002D7C77">
              <w:rPr>
                <w:rFonts w:eastAsia="Times New Roman" w:cs="Arial"/>
                <w:color w:val="000000"/>
                <w:sz w:val="20"/>
                <w:szCs w:val="22"/>
              </w:rPr>
              <w:t xml:space="preserve">    </w:t>
            </w:r>
            <w:r w:rsidR="00F311C5">
              <w:rPr>
                <w:rFonts w:eastAsia="Times New Roman" w:cs="Arial"/>
                <w:color w:val="000000"/>
                <w:sz w:val="20"/>
                <w:szCs w:val="22"/>
              </w:rPr>
              <w:t xml:space="preserve">  </w:t>
            </w:r>
            <w:r w:rsidRPr="002D7C77">
              <w:rPr>
                <w:rFonts w:eastAsia="Times New Roman" w:cs="Arial"/>
                <w:color w:val="000000"/>
                <w:sz w:val="20"/>
                <w:szCs w:val="22"/>
              </w:rPr>
              <w:t xml:space="preserve"> 845,538,785 </w:t>
            </w:r>
          </w:p>
        </w:tc>
      </w:tr>
      <w:tr w:rsidR="002D7C77" w:rsidRPr="002D7C77" w14:paraId="1A90B5D6" w14:textId="77777777" w:rsidTr="00433D1B">
        <w:trPr>
          <w:trHeight w:val="285"/>
        </w:trPr>
        <w:tc>
          <w:tcPr>
            <w:tcW w:w="1315" w:type="pct"/>
            <w:tcBorders>
              <w:top w:val="double" w:sz="6" w:space="0" w:color="A5A5A5"/>
              <w:left w:val="single" w:sz="4" w:space="0" w:color="A5A5A5"/>
              <w:bottom w:val="single" w:sz="4" w:space="0" w:color="A5A5A5"/>
              <w:right w:val="nil"/>
            </w:tcBorders>
            <w:shd w:val="clear" w:color="auto" w:fill="auto"/>
            <w:noWrap/>
            <w:vAlign w:val="bottom"/>
            <w:hideMark/>
          </w:tcPr>
          <w:p w14:paraId="18994C64" w14:textId="77777777" w:rsidR="002D7C77" w:rsidRPr="002D7C77" w:rsidRDefault="002D7C77" w:rsidP="002D7C77">
            <w:pPr>
              <w:widowControl/>
              <w:autoSpaceDE/>
              <w:autoSpaceDN/>
              <w:adjustRightInd/>
              <w:rPr>
                <w:rFonts w:eastAsia="Times New Roman" w:cs="Arial"/>
                <w:b/>
                <w:bCs/>
                <w:color w:val="000000"/>
                <w:sz w:val="20"/>
                <w:szCs w:val="22"/>
              </w:rPr>
            </w:pPr>
            <w:r w:rsidRPr="002D7C77">
              <w:rPr>
                <w:rFonts w:eastAsia="Times New Roman" w:cs="Arial"/>
                <w:b/>
                <w:bCs/>
                <w:color w:val="000000"/>
                <w:sz w:val="20"/>
                <w:szCs w:val="22"/>
              </w:rPr>
              <w:t>Total</w:t>
            </w:r>
          </w:p>
        </w:tc>
        <w:tc>
          <w:tcPr>
            <w:tcW w:w="857" w:type="pct"/>
            <w:tcBorders>
              <w:top w:val="double" w:sz="6" w:space="0" w:color="A5A5A5"/>
              <w:left w:val="nil"/>
              <w:bottom w:val="single" w:sz="4" w:space="0" w:color="A5A5A5"/>
              <w:right w:val="nil"/>
            </w:tcBorders>
            <w:shd w:val="clear" w:color="auto" w:fill="auto"/>
            <w:noWrap/>
            <w:vAlign w:val="bottom"/>
            <w:hideMark/>
          </w:tcPr>
          <w:p w14:paraId="43537C7F" w14:textId="77777777" w:rsidR="002D7C77" w:rsidRPr="002D7C77" w:rsidRDefault="002D7C77" w:rsidP="002D7C77">
            <w:pPr>
              <w:widowControl/>
              <w:autoSpaceDE/>
              <w:autoSpaceDN/>
              <w:adjustRightInd/>
              <w:jc w:val="right"/>
              <w:rPr>
                <w:rFonts w:eastAsia="Times New Roman" w:cs="Arial"/>
                <w:b/>
                <w:bCs/>
                <w:color w:val="000000"/>
                <w:sz w:val="20"/>
                <w:szCs w:val="22"/>
              </w:rPr>
            </w:pPr>
            <w:r w:rsidRPr="002D7C77">
              <w:rPr>
                <w:rFonts w:eastAsia="Times New Roman" w:cs="Arial"/>
                <w:b/>
                <w:bCs/>
                <w:color w:val="000000"/>
                <w:sz w:val="20"/>
                <w:szCs w:val="22"/>
              </w:rPr>
              <w:t>1,352,890,820</w:t>
            </w:r>
          </w:p>
        </w:tc>
        <w:tc>
          <w:tcPr>
            <w:tcW w:w="857" w:type="pct"/>
            <w:tcBorders>
              <w:top w:val="double" w:sz="6" w:space="0" w:color="A5A5A5"/>
              <w:left w:val="nil"/>
              <w:bottom w:val="single" w:sz="4" w:space="0" w:color="A5A5A5"/>
              <w:right w:val="nil"/>
            </w:tcBorders>
            <w:shd w:val="clear" w:color="auto" w:fill="auto"/>
            <w:noWrap/>
            <w:vAlign w:val="bottom"/>
            <w:hideMark/>
          </w:tcPr>
          <w:p w14:paraId="74DBF58A" w14:textId="77777777" w:rsidR="002D7C77" w:rsidRPr="002D7C77" w:rsidRDefault="002D7C77" w:rsidP="002D7C77">
            <w:pPr>
              <w:widowControl/>
              <w:autoSpaceDE/>
              <w:autoSpaceDN/>
              <w:adjustRightInd/>
              <w:jc w:val="right"/>
              <w:rPr>
                <w:rFonts w:eastAsia="Times New Roman" w:cs="Arial"/>
                <w:b/>
                <w:bCs/>
                <w:color w:val="000000"/>
                <w:sz w:val="20"/>
                <w:szCs w:val="22"/>
              </w:rPr>
            </w:pPr>
            <w:r w:rsidRPr="002D7C77">
              <w:rPr>
                <w:rFonts w:eastAsia="Times New Roman" w:cs="Arial"/>
                <w:b/>
                <w:bCs/>
                <w:color w:val="000000"/>
                <w:sz w:val="20"/>
                <w:szCs w:val="22"/>
              </w:rPr>
              <w:t>1,407,909,203</w:t>
            </w:r>
          </w:p>
        </w:tc>
        <w:tc>
          <w:tcPr>
            <w:tcW w:w="985" w:type="pct"/>
            <w:tcBorders>
              <w:top w:val="double" w:sz="6" w:space="0" w:color="A5A5A5"/>
              <w:left w:val="nil"/>
              <w:bottom w:val="single" w:sz="4" w:space="0" w:color="A5A5A5"/>
              <w:right w:val="nil"/>
            </w:tcBorders>
            <w:shd w:val="clear" w:color="auto" w:fill="auto"/>
            <w:noWrap/>
            <w:vAlign w:val="bottom"/>
            <w:hideMark/>
          </w:tcPr>
          <w:p w14:paraId="3567B46E" w14:textId="3114A977" w:rsidR="002D7C77" w:rsidRPr="002D7C77" w:rsidRDefault="002D7C77" w:rsidP="00F311C5">
            <w:pPr>
              <w:widowControl/>
              <w:autoSpaceDE/>
              <w:autoSpaceDN/>
              <w:adjustRightInd/>
              <w:rPr>
                <w:rFonts w:eastAsia="Times New Roman" w:cs="Arial"/>
                <w:b/>
                <w:bCs/>
                <w:color w:val="000000"/>
                <w:sz w:val="20"/>
                <w:szCs w:val="22"/>
              </w:rPr>
            </w:pPr>
            <w:r w:rsidRPr="002D7C77">
              <w:rPr>
                <w:rFonts w:eastAsia="Times New Roman" w:cs="Arial"/>
                <w:b/>
                <w:bCs/>
                <w:color w:val="000000"/>
                <w:sz w:val="20"/>
                <w:szCs w:val="22"/>
              </w:rPr>
              <w:t xml:space="preserve"> </w:t>
            </w:r>
            <w:r w:rsidR="00F311C5">
              <w:rPr>
                <w:rFonts w:eastAsia="Times New Roman" w:cs="Arial"/>
                <w:b/>
                <w:bCs/>
                <w:color w:val="000000"/>
                <w:sz w:val="20"/>
                <w:szCs w:val="22"/>
              </w:rPr>
              <w:t xml:space="preserve">  </w:t>
            </w:r>
            <w:r w:rsidRPr="002D7C77">
              <w:rPr>
                <w:rFonts w:eastAsia="Times New Roman" w:cs="Arial"/>
                <w:b/>
                <w:bCs/>
                <w:color w:val="000000"/>
                <w:sz w:val="20"/>
                <w:szCs w:val="22"/>
              </w:rPr>
              <w:t xml:space="preserve"> 1,248,402,633 </w:t>
            </w:r>
          </w:p>
        </w:tc>
        <w:tc>
          <w:tcPr>
            <w:tcW w:w="985" w:type="pct"/>
            <w:tcBorders>
              <w:top w:val="double" w:sz="6" w:space="0" w:color="A5A5A5"/>
              <w:left w:val="nil"/>
              <w:bottom w:val="single" w:sz="4" w:space="0" w:color="A5A5A5"/>
              <w:right w:val="single" w:sz="4" w:space="0" w:color="A5A5A5"/>
            </w:tcBorders>
            <w:shd w:val="clear" w:color="auto" w:fill="auto"/>
            <w:noWrap/>
            <w:vAlign w:val="bottom"/>
            <w:hideMark/>
          </w:tcPr>
          <w:p w14:paraId="6681BF31" w14:textId="7EEF9CB4" w:rsidR="002D7C77" w:rsidRPr="002D7C77" w:rsidRDefault="002D7C77" w:rsidP="00F311C5">
            <w:pPr>
              <w:widowControl/>
              <w:autoSpaceDE/>
              <w:autoSpaceDN/>
              <w:adjustRightInd/>
              <w:rPr>
                <w:rFonts w:eastAsia="Times New Roman" w:cs="Arial"/>
                <w:b/>
                <w:bCs/>
                <w:color w:val="000000"/>
                <w:sz w:val="20"/>
                <w:szCs w:val="22"/>
              </w:rPr>
            </w:pPr>
            <w:r w:rsidRPr="002D7C77">
              <w:rPr>
                <w:rFonts w:eastAsia="Times New Roman" w:cs="Arial"/>
                <w:b/>
                <w:bCs/>
                <w:color w:val="000000"/>
                <w:sz w:val="20"/>
                <w:szCs w:val="22"/>
              </w:rPr>
              <w:t xml:space="preserve"> </w:t>
            </w:r>
            <w:r w:rsidR="00F311C5">
              <w:rPr>
                <w:rFonts w:eastAsia="Times New Roman" w:cs="Arial"/>
                <w:b/>
                <w:bCs/>
                <w:color w:val="000000"/>
                <w:sz w:val="20"/>
                <w:szCs w:val="22"/>
              </w:rPr>
              <w:t xml:space="preserve">  </w:t>
            </w:r>
            <w:r w:rsidRPr="002D7C77">
              <w:rPr>
                <w:rFonts w:eastAsia="Times New Roman" w:cs="Arial"/>
                <w:b/>
                <w:bCs/>
                <w:color w:val="000000"/>
                <w:sz w:val="20"/>
                <w:szCs w:val="22"/>
              </w:rPr>
              <w:t xml:space="preserve"> 1,447,770,374 </w:t>
            </w:r>
          </w:p>
        </w:tc>
      </w:tr>
    </w:tbl>
    <w:p w14:paraId="3492356D" w14:textId="77777777" w:rsidR="00AD163A" w:rsidRDefault="00AD163A" w:rsidP="00E749F5">
      <w:pPr>
        <w:jc w:val="both"/>
        <w:rPr>
          <w:rFonts w:cs="Arial"/>
          <w:b/>
          <w:szCs w:val="20"/>
        </w:rPr>
      </w:pPr>
    </w:p>
    <w:p w14:paraId="681853BD" w14:textId="77777777" w:rsidR="00E749F5" w:rsidRPr="000F697B" w:rsidRDefault="00E749F5" w:rsidP="00E749F5">
      <w:pPr>
        <w:jc w:val="both"/>
        <w:rPr>
          <w:rFonts w:cs="Arial"/>
          <w:b/>
          <w:szCs w:val="20"/>
        </w:rPr>
      </w:pPr>
      <w:r w:rsidRPr="000F697B">
        <w:rPr>
          <w:rFonts w:cs="Arial"/>
          <w:b/>
          <w:szCs w:val="20"/>
        </w:rPr>
        <w:t>State Agency and Higher Education Summary</w:t>
      </w:r>
    </w:p>
    <w:p w14:paraId="08515BE5" w14:textId="77777777" w:rsidR="00E749F5" w:rsidRPr="00733D15" w:rsidRDefault="00E749F5" w:rsidP="006122AB">
      <w:pPr>
        <w:jc w:val="both"/>
        <w:rPr>
          <w:rFonts w:cs="Arial"/>
          <w:sz w:val="16"/>
          <w:szCs w:val="16"/>
        </w:rPr>
      </w:pPr>
    </w:p>
    <w:tbl>
      <w:tblPr>
        <w:tblW w:w="5000" w:type="pct"/>
        <w:tblLook w:val="04A0" w:firstRow="1" w:lastRow="0" w:firstColumn="1" w:lastColumn="0" w:noHBand="0" w:noVBand="1"/>
      </w:tblPr>
      <w:tblGrid>
        <w:gridCol w:w="2461"/>
        <w:gridCol w:w="1781"/>
        <w:gridCol w:w="1609"/>
        <w:gridCol w:w="1718"/>
        <w:gridCol w:w="1781"/>
      </w:tblGrid>
      <w:tr w:rsidR="00433D1B" w:rsidRPr="000F697B" w14:paraId="4A30410B" w14:textId="77777777" w:rsidTr="00433D1B">
        <w:trPr>
          <w:trHeight w:val="261"/>
        </w:trPr>
        <w:tc>
          <w:tcPr>
            <w:tcW w:w="1328" w:type="pct"/>
            <w:tcBorders>
              <w:top w:val="single" w:sz="4" w:space="0" w:color="5B9BD5"/>
              <w:left w:val="single" w:sz="4" w:space="0" w:color="5B9BD5"/>
              <w:bottom w:val="nil"/>
              <w:right w:val="nil"/>
            </w:tcBorders>
            <w:shd w:val="clear" w:color="5B9BD5" w:fill="5B9BD5"/>
            <w:noWrap/>
            <w:vAlign w:val="bottom"/>
            <w:hideMark/>
          </w:tcPr>
          <w:p w14:paraId="343F18B0" w14:textId="77777777" w:rsidR="00433D1B" w:rsidRPr="003A0AE5" w:rsidRDefault="00433D1B" w:rsidP="00433D1B">
            <w:pPr>
              <w:widowControl/>
              <w:autoSpaceDE/>
              <w:autoSpaceDN/>
              <w:adjustRightInd/>
              <w:rPr>
                <w:rFonts w:eastAsia="Times New Roman" w:cs="Arial"/>
                <w:b/>
                <w:bCs/>
                <w:color w:val="FFFFFF"/>
                <w:sz w:val="20"/>
                <w:szCs w:val="22"/>
              </w:rPr>
            </w:pPr>
            <w:r w:rsidRPr="003A0AE5">
              <w:rPr>
                <w:rFonts w:eastAsia="Times New Roman" w:cs="Arial"/>
                <w:b/>
                <w:bCs/>
                <w:color w:val="FFFFFF"/>
                <w:sz w:val="20"/>
                <w:szCs w:val="22"/>
              </w:rPr>
              <w:t>Contract Type</w:t>
            </w:r>
          </w:p>
        </w:tc>
        <w:tc>
          <w:tcPr>
            <w:tcW w:w="964" w:type="pct"/>
            <w:tcBorders>
              <w:top w:val="single" w:sz="4" w:space="0" w:color="5B9BD5"/>
              <w:left w:val="nil"/>
              <w:bottom w:val="nil"/>
              <w:right w:val="nil"/>
            </w:tcBorders>
            <w:shd w:val="clear" w:color="5B9BD5" w:fill="5B9BD5"/>
            <w:noWrap/>
            <w:vAlign w:val="bottom"/>
            <w:hideMark/>
          </w:tcPr>
          <w:p w14:paraId="73A2F020" w14:textId="16869F79" w:rsidR="00433D1B" w:rsidRPr="003A0AE5" w:rsidRDefault="00433D1B" w:rsidP="00433D1B">
            <w:pPr>
              <w:widowControl/>
              <w:autoSpaceDE/>
              <w:autoSpaceDN/>
              <w:adjustRightInd/>
              <w:jc w:val="center"/>
              <w:rPr>
                <w:rFonts w:eastAsia="Times New Roman" w:cs="Arial"/>
                <w:b/>
                <w:bCs/>
                <w:color w:val="FFFFFF"/>
                <w:sz w:val="20"/>
                <w:szCs w:val="22"/>
              </w:rPr>
            </w:pPr>
            <w:r>
              <w:rPr>
                <w:rFonts w:cs="Arial"/>
                <w:b/>
                <w:bCs/>
                <w:color w:val="FFFFFF"/>
                <w:sz w:val="20"/>
                <w:szCs w:val="20"/>
              </w:rPr>
              <w:t>FY18</w:t>
            </w:r>
          </w:p>
        </w:tc>
        <w:tc>
          <w:tcPr>
            <w:tcW w:w="872" w:type="pct"/>
            <w:tcBorders>
              <w:top w:val="single" w:sz="4" w:space="0" w:color="5B9BD5"/>
              <w:left w:val="nil"/>
              <w:bottom w:val="nil"/>
              <w:right w:val="nil"/>
            </w:tcBorders>
            <w:shd w:val="clear" w:color="5B9BD5" w:fill="5B9BD5"/>
            <w:noWrap/>
            <w:vAlign w:val="bottom"/>
            <w:hideMark/>
          </w:tcPr>
          <w:p w14:paraId="4CE2F3CF" w14:textId="3FADED59" w:rsidR="00433D1B" w:rsidRPr="003A0AE5" w:rsidRDefault="00433D1B" w:rsidP="00433D1B">
            <w:pPr>
              <w:widowControl/>
              <w:autoSpaceDE/>
              <w:autoSpaceDN/>
              <w:adjustRightInd/>
              <w:jc w:val="center"/>
              <w:rPr>
                <w:rFonts w:eastAsia="Times New Roman" w:cs="Arial"/>
                <w:b/>
                <w:bCs/>
                <w:color w:val="FFFFFF"/>
                <w:sz w:val="20"/>
                <w:szCs w:val="22"/>
              </w:rPr>
            </w:pPr>
            <w:r>
              <w:rPr>
                <w:rFonts w:cs="Arial"/>
                <w:b/>
                <w:bCs/>
                <w:color w:val="FFFFFF"/>
                <w:sz w:val="20"/>
                <w:szCs w:val="20"/>
              </w:rPr>
              <w:t>FY19</w:t>
            </w:r>
          </w:p>
        </w:tc>
        <w:tc>
          <w:tcPr>
            <w:tcW w:w="872" w:type="pct"/>
            <w:tcBorders>
              <w:top w:val="single" w:sz="4" w:space="0" w:color="5B9BD5"/>
              <w:left w:val="nil"/>
              <w:bottom w:val="nil"/>
              <w:right w:val="nil"/>
            </w:tcBorders>
            <w:shd w:val="clear" w:color="5B9BD5" w:fill="5B9BD5"/>
            <w:noWrap/>
            <w:vAlign w:val="bottom"/>
            <w:hideMark/>
          </w:tcPr>
          <w:p w14:paraId="39B03387" w14:textId="0E8A2DD4" w:rsidR="00433D1B" w:rsidRPr="003A0AE5" w:rsidRDefault="00433D1B" w:rsidP="00433D1B">
            <w:pPr>
              <w:widowControl/>
              <w:autoSpaceDE/>
              <w:autoSpaceDN/>
              <w:adjustRightInd/>
              <w:jc w:val="center"/>
              <w:rPr>
                <w:rFonts w:eastAsia="Times New Roman" w:cs="Arial"/>
                <w:b/>
                <w:bCs/>
                <w:color w:val="FFFFFF"/>
                <w:sz w:val="20"/>
                <w:szCs w:val="22"/>
              </w:rPr>
            </w:pPr>
            <w:r>
              <w:rPr>
                <w:rFonts w:cs="Arial"/>
                <w:b/>
                <w:bCs/>
                <w:color w:val="FFFFFF"/>
                <w:sz w:val="20"/>
                <w:szCs w:val="20"/>
              </w:rPr>
              <w:t xml:space="preserve"> FY20 </w:t>
            </w:r>
          </w:p>
        </w:tc>
        <w:tc>
          <w:tcPr>
            <w:tcW w:w="964" w:type="pct"/>
            <w:tcBorders>
              <w:top w:val="single" w:sz="4" w:space="0" w:color="5B9BD5"/>
              <w:left w:val="nil"/>
              <w:bottom w:val="nil"/>
              <w:right w:val="single" w:sz="4" w:space="0" w:color="5B9BD5"/>
            </w:tcBorders>
            <w:shd w:val="clear" w:color="5B9BD5" w:fill="5B9BD5"/>
            <w:noWrap/>
            <w:vAlign w:val="bottom"/>
            <w:hideMark/>
          </w:tcPr>
          <w:p w14:paraId="37B58807" w14:textId="14188899" w:rsidR="00433D1B" w:rsidRPr="003A0AE5" w:rsidRDefault="00433D1B" w:rsidP="00433D1B">
            <w:pPr>
              <w:widowControl/>
              <w:autoSpaceDE/>
              <w:autoSpaceDN/>
              <w:adjustRightInd/>
              <w:jc w:val="center"/>
              <w:rPr>
                <w:rFonts w:eastAsia="Times New Roman" w:cs="Arial"/>
                <w:b/>
                <w:bCs/>
                <w:color w:val="FFFFFF"/>
                <w:sz w:val="20"/>
                <w:szCs w:val="22"/>
              </w:rPr>
            </w:pPr>
            <w:r>
              <w:rPr>
                <w:rFonts w:cs="Arial"/>
                <w:b/>
                <w:bCs/>
                <w:color w:val="FFFFFF"/>
                <w:sz w:val="20"/>
                <w:szCs w:val="20"/>
              </w:rPr>
              <w:t>FY21</w:t>
            </w:r>
          </w:p>
        </w:tc>
      </w:tr>
      <w:tr w:rsidR="00433D1B" w:rsidRPr="000F697B" w14:paraId="434667FA" w14:textId="77777777" w:rsidTr="00433D1B">
        <w:trPr>
          <w:trHeight w:val="261"/>
        </w:trPr>
        <w:tc>
          <w:tcPr>
            <w:tcW w:w="1328" w:type="pct"/>
            <w:tcBorders>
              <w:top w:val="single" w:sz="4" w:space="0" w:color="5B9BD5"/>
              <w:left w:val="single" w:sz="4" w:space="0" w:color="5B9BD5"/>
              <w:bottom w:val="nil"/>
              <w:right w:val="nil"/>
            </w:tcBorders>
            <w:shd w:val="clear" w:color="auto" w:fill="auto"/>
            <w:noWrap/>
            <w:vAlign w:val="bottom"/>
            <w:hideMark/>
          </w:tcPr>
          <w:p w14:paraId="383C2E4B" w14:textId="60357840" w:rsidR="00433D1B" w:rsidRPr="003A0AE5" w:rsidRDefault="00433D1B" w:rsidP="00433D1B">
            <w:pPr>
              <w:widowControl/>
              <w:autoSpaceDE/>
              <w:autoSpaceDN/>
              <w:adjustRightInd/>
              <w:rPr>
                <w:rFonts w:eastAsia="Times New Roman" w:cs="Arial"/>
                <w:color w:val="000000"/>
                <w:sz w:val="20"/>
                <w:szCs w:val="22"/>
              </w:rPr>
            </w:pPr>
            <w:r w:rsidRPr="003A0AE5">
              <w:rPr>
                <w:rFonts w:eastAsia="Times New Roman" w:cs="Arial"/>
                <w:color w:val="000000"/>
                <w:sz w:val="20"/>
                <w:szCs w:val="22"/>
              </w:rPr>
              <w:t xml:space="preserve">IT </w:t>
            </w:r>
            <w:r w:rsidR="0030367F">
              <w:rPr>
                <w:rFonts w:eastAsia="Times New Roman" w:cs="Arial"/>
                <w:color w:val="000000"/>
                <w:sz w:val="20"/>
                <w:szCs w:val="22"/>
              </w:rPr>
              <w:t xml:space="preserve">Master </w:t>
            </w:r>
            <w:r w:rsidRPr="003A0AE5">
              <w:rPr>
                <w:rFonts w:eastAsia="Times New Roman" w:cs="Arial"/>
                <w:color w:val="000000"/>
                <w:sz w:val="20"/>
                <w:szCs w:val="22"/>
              </w:rPr>
              <w:t>Contract</w:t>
            </w:r>
          </w:p>
        </w:tc>
        <w:tc>
          <w:tcPr>
            <w:tcW w:w="964" w:type="pct"/>
            <w:tcBorders>
              <w:top w:val="single" w:sz="4" w:space="0" w:color="5B9BD5"/>
              <w:left w:val="nil"/>
              <w:bottom w:val="nil"/>
              <w:right w:val="nil"/>
            </w:tcBorders>
            <w:shd w:val="clear" w:color="auto" w:fill="auto"/>
            <w:noWrap/>
            <w:vAlign w:val="bottom"/>
            <w:hideMark/>
          </w:tcPr>
          <w:p w14:paraId="77C8D147" w14:textId="1B2A064A" w:rsidR="00433D1B" w:rsidRPr="003A0AE5" w:rsidRDefault="00433D1B" w:rsidP="00433D1B">
            <w:pPr>
              <w:widowControl/>
              <w:autoSpaceDE/>
              <w:autoSpaceDN/>
              <w:adjustRightInd/>
              <w:rPr>
                <w:rFonts w:eastAsia="Times New Roman" w:cs="Arial"/>
                <w:color w:val="000000"/>
                <w:sz w:val="20"/>
                <w:szCs w:val="22"/>
              </w:rPr>
            </w:pPr>
            <w:r>
              <w:rPr>
                <w:rFonts w:cs="Arial"/>
                <w:color w:val="000000"/>
                <w:sz w:val="20"/>
                <w:szCs w:val="20"/>
              </w:rPr>
              <w:t>190,758,252</w:t>
            </w:r>
          </w:p>
        </w:tc>
        <w:tc>
          <w:tcPr>
            <w:tcW w:w="872" w:type="pct"/>
            <w:tcBorders>
              <w:top w:val="single" w:sz="4" w:space="0" w:color="5B9BD5"/>
              <w:left w:val="nil"/>
              <w:bottom w:val="nil"/>
              <w:right w:val="nil"/>
            </w:tcBorders>
            <w:shd w:val="clear" w:color="auto" w:fill="auto"/>
            <w:noWrap/>
            <w:vAlign w:val="bottom"/>
            <w:hideMark/>
          </w:tcPr>
          <w:p w14:paraId="6E118F6B" w14:textId="518BF78C" w:rsidR="00433D1B" w:rsidRPr="003A0AE5" w:rsidRDefault="00433D1B" w:rsidP="00433D1B">
            <w:pPr>
              <w:widowControl/>
              <w:autoSpaceDE/>
              <w:autoSpaceDN/>
              <w:adjustRightInd/>
              <w:jc w:val="right"/>
              <w:rPr>
                <w:rFonts w:eastAsia="Times New Roman" w:cs="Arial"/>
                <w:color w:val="000000"/>
                <w:sz w:val="20"/>
                <w:szCs w:val="22"/>
              </w:rPr>
            </w:pPr>
            <w:r>
              <w:rPr>
                <w:rFonts w:cs="Arial"/>
                <w:color w:val="000000"/>
                <w:sz w:val="20"/>
                <w:szCs w:val="20"/>
              </w:rPr>
              <w:t>257,510,284</w:t>
            </w:r>
          </w:p>
        </w:tc>
        <w:tc>
          <w:tcPr>
            <w:tcW w:w="872" w:type="pct"/>
            <w:tcBorders>
              <w:top w:val="single" w:sz="4" w:space="0" w:color="5B9BD5"/>
              <w:left w:val="nil"/>
              <w:bottom w:val="nil"/>
              <w:right w:val="nil"/>
            </w:tcBorders>
            <w:shd w:val="clear" w:color="auto" w:fill="auto"/>
            <w:noWrap/>
            <w:vAlign w:val="bottom"/>
            <w:hideMark/>
          </w:tcPr>
          <w:p w14:paraId="32B7FB2D" w14:textId="18ED6FC1" w:rsidR="00433D1B" w:rsidRPr="003A0AE5" w:rsidRDefault="00433D1B" w:rsidP="00F311C5">
            <w:pPr>
              <w:widowControl/>
              <w:autoSpaceDE/>
              <w:autoSpaceDN/>
              <w:adjustRightInd/>
              <w:jc w:val="right"/>
              <w:rPr>
                <w:rFonts w:eastAsia="Times New Roman" w:cs="Arial"/>
                <w:color w:val="000000"/>
                <w:sz w:val="20"/>
                <w:szCs w:val="22"/>
              </w:rPr>
            </w:pPr>
            <w:r>
              <w:rPr>
                <w:rFonts w:cs="Arial"/>
                <w:color w:val="000000"/>
                <w:sz w:val="20"/>
                <w:szCs w:val="20"/>
              </w:rPr>
              <w:t xml:space="preserve">       255,773,619 </w:t>
            </w:r>
          </w:p>
        </w:tc>
        <w:tc>
          <w:tcPr>
            <w:tcW w:w="964" w:type="pct"/>
            <w:tcBorders>
              <w:top w:val="single" w:sz="4" w:space="0" w:color="5B9BD5"/>
              <w:left w:val="nil"/>
              <w:bottom w:val="nil"/>
              <w:right w:val="single" w:sz="4" w:space="0" w:color="5B9BD5"/>
            </w:tcBorders>
            <w:shd w:val="clear" w:color="auto" w:fill="auto"/>
            <w:noWrap/>
            <w:vAlign w:val="bottom"/>
            <w:hideMark/>
          </w:tcPr>
          <w:p w14:paraId="572BB833" w14:textId="7BCBE9DE" w:rsidR="00433D1B" w:rsidRPr="003A0AE5" w:rsidRDefault="00433D1B" w:rsidP="00F311C5">
            <w:pPr>
              <w:widowControl/>
              <w:autoSpaceDE/>
              <w:autoSpaceDN/>
              <w:adjustRightInd/>
              <w:rPr>
                <w:rFonts w:eastAsia="Times New Roman" w:cs="Arial"/>
                <w:color w:val="000000"/>
                <w:sz w:val="20"/>
                <w:szCs w:val="22"/>
              </w:rPr>
            </w:pPr>
            <w:r>
              <w:rPr>
                <w:rFonts w:cs="Arial"/>
                <w:color w:val="000000"/>
                <w:sz w:val="20"/>
                <w:szCs w:val="20"/>
              </w:rPr>
              <w:t xml:space="preserve">  </w:t>
            </w:r>
            <w:r w:rsidR="00F311C5">
              <w:rPr>
                <w:rFonts w:cs="Arial"/>
                <w:color w:val="000000"/>
                <w:sz w:val="20"/>
                <w:szCs w:val="20"/>
              </w:rPr>
              <w:t xml:space="preserve"> </w:t>
            </w:r>
            <w:r>
              <w:rPr>
                <w:rFonts w:cs="Arial"/>
                <w:color w:val="000000"/>
                <w:sz w:val="20"/>
                <w:szCs w:val="20"/>
              </w:rPr>
              <w:t xml:space="preserve">     270,145,296 </w:t>
            </w:r>
          </w:p>
        </w:tc>
      </w:tr>
      <w:tr w:rsidR="00433D1B" w:rsidRPr="000F697B" w14:paraId="26C03BB9" w14:textId="77777777" w:rsidTr="00433D1B">
        <w:trPr>
          <w:trHeight w:val="261"/>
        </w:trPr>
        <w:tc>
          <w:tcPr>
            <w:tcW w:w="1328" w:type="pct"/>
            <w:tcBorders>
              <w:top w:val="single" w:sz="4" w:space="0" w:color="5B9BD5"/>
              <w:left w:val="single" w:sz="4" w:space="0" w:color="5B9BD5"/>
              <w:bottom w:val="nil"/>
              <w:right w:val="nil"/>
            </w:tcBorders>
            <w:shd w:val="clear" w:color="auto" w:fill="auto"/>
            <w:noWrap/>
            <w:vAlign w:val="bottom"/>
            <w:hideMark/>
          </w:tcPr>
          <w:p w14:paraId="7F0FA76D" w14:textId="77777777" w:rsidR="00433D1B" w:rsidRPr="003A0AE5" w:rsidRDefault="00433D1B" w:rsidP="00433D1B">
            <w:pPr>
              <w:widowControl/>
              <w:autoSpaceDE/>
              <w:autoSpaceDN/>
              <w:adjustRightInd/>
              <w:rPr>
                <w:rFonts w:eastAsia="Times New Roman" w:cs="Arial"/>
                <w:color w:val="000000"/>
                <w:sz w:val="20"/>
                <w:szCs w:val="22"/>
              </w:rPr>
            </w:pPr>
            <w:proofErr w:type="gramStart"/>
            <w:r w:rsidRPr="003A0AE5">
              <w:rPr>
                <w:rFonts w:eastAsia="Times New Roman" w:cs="Arial"/>
                <w:color w:val="000000"/>
                <w:sz w:val="20"/>
                <w:szCs w:val="22"/>
              </w:rPr>
              <w:t>Non IT</w:t>
            </w:r>
            <w:proofErr w:type="gramEnd"/>
            <w:r w:rsidRPr="003A0AE5">
              <w:rPr>
                <w:rFonts w:eastAsia="Times New Roman" w:cs="Arial"/>
                <w:color w:val="000000"/>
                <w:sz w:val="20"/>
                <w:szCs w:val="22"/>
              </w:rPr>
              <w:t xml:space="preserve"> Master Contract</w:t>
            </w:r>
          </w:p>
        </w:tc>
        <w:tc>
          <w:tcPr>
            <w:tcW w:w="964" w:type="pct"/>
            <w:tcBorders>
              <w:top w:val="single" w:sz="4" w:space="0" w:color="5B9BD5"/>
              <w:left w:val="nil"/>
              <w:bottom w:val="nil"/>
              <w:right w:val="nil"/>
            </w:tcBorders>
            <w:shd w:val="clear" w:color="auto" w:fill="auto"/>
            <w:noWrap/>
            <w:vAlign w:val="bottom"/>
            <w:hideMark/>
          </w:tcPr>
          <w:p w14:paraId="1696F6FD" w14:textId="08174FD5" w:rsidR="00433D1B" w:rsidRPr="003A0AE5" w:rsidRDefault="00433D1B" w:rsidP="00433D1B">
            <w:pPr>
              <w:widowControl/>
              <w:autoSpaceDE/>
              <w:autoSpaceDN/>
              <w:adjustRightInd/>
              <w:rPr>
                <w:rFonts w:eastAsia="Times New Roman" w:cs="Arial"/>
                <w:color w:val="000000"/>
                <w:sz w:val="20"/>
                <w:szCs w:val="22"/>
              </w:rPr>
            </w:pPr>
            <w:r>
              <w:rPr>
                <w:rFonts w:cs="Arial"/>
                <w:color w:val="000000"/>
                <w:sz w:val="20"/>
                <w:szCs w:val="20"/>
              </w:rPr>
              <w:t>313,155,952</w:t>
            </w:r>
          </w:p>
        </w:tc>
        <w:tc>
          <w:tcPr>
            <w:tcW w:w="872" w:type="pct"/>
            <w:tcBorders>
              <w:top w:val="single" w:sz="4" w:space="0" w:color="5B9BD5"/>
              <w:left w:val="nil"/>
              <w:bottom w:val="nil"/>
              <w:right w:val="nil"/>
            </w:tcBorders>
            <w:shd w:val="clear" w:color="auto" w:fill="auto"/>
            <w:noWrap/>
            <w:vAlign w:val="bottom"/>
            <w:hideMark/>
          </w:tcPr>
          <w:p w14:paraId="388DFB16" w14:textId="1A3AB2F3" w:rsidR="00433D1B" w:rsidRPr="003A0AE5" w:rsidRDefault="00433D1B" w:rsidP="00433D1B">
            <w:pPr>
              <w:widowControl/>
              <w:autoSpaceDE/>
              <w:autoSpaceDN/>
              <w:adjustRightInd/>
              <w:jc w:val="right"/>
              <w:rPr>
                <w:rFonts w:eastAsia="Times New Roman" w:cs="Arial"/>
                <w:color w:val="000000"/>
                <w:sz w:val="20"/>
                <w:szCs w:val="22"/>
              </w:rPr>
            </w:pPr>
            <w:r>
              <w:rPr>
                <w:rFonts w:cs="Arial"/>
                <w:color w:val="000000"/>
                <w:sz w:val="20"/>
                <w:szCs w:val="20"/>
              </w:rPr>
              <w:t>332,029,970</w:t>
            </w:r>
          </w:p>
        </w:tc>
        <w:tc>
          <w:tcPr>
            <w:tcW w:w="872" w:type="pct"/>
            <w:tcBorders>
              <w:top w:val="single" w:sz="4" w:space="0" w:color="5B9BD5"/>
              <w:left w:val="nil"/>
              <w:bottom w:val="nil"/>
              <w:right w:val="nil"/>
            </w:tcBorders>
            <w:shd w:val="clear" w:color="auto" w:fill="auto"/>
            <w:noWrap/>
            <w:vAlign w:val="bottom"/>
            <w:hideMark/>
          </w:tcPr>
          <w:p w14:paraId="39E65728" w14:textId="38A44912" w:rsidR="00433D1B" w:rsidRPr="003A0AE5" w:rsidRDefault="00433D1B" w:rsidP="00F311C5">
            <w:pPr>
              <w:widowControl/>
              <w:autoSpaceDE/>
              <w:autoSpaceDN/>
              <w:adjustRightInd/>
              <w:jc w:val="right"/>
              <w:rPr>
                <w:rFonts w:eastAsia="Times New Roman" w:cs="Arial"/>
                <w:color w:val="000000"/>
                <w:sz w:val="20"/>
                <w:szCs w:val="22"/>
              </w:rPr>
            </w:pPr>
            <w:r>
              <w:rPr>
                <w:rFonts w:cs="Arial"/>
                <w:color w:val="000000"/>
                <w:sz w:val="20"/>
                <w:szCs w:val="20"/>
              </w:rPr>
              <w:t xml:space="preserve">       271,142,622 </w:t>
            </w:r>
          </w:p>
        </w:tc>
        <w:tc>
          <w:tcPr>
            <w:tcW w:w="964" w:type="pct"/>
            <w:tcBorders>
              <w:top w:val="single" w:sz="4" w:space="0" w:color="5B9BD5"/>
              <w:left w:val="nil"/>
              <w:bottom w:val="nil"/>
              <w:right w:val="single" w:sz="4" w:space="0" w:color="5B9BD5"/>
            </w:tcBorders>
            <w:shd w:val="clear" w:color="auto" w:fill="auto"/>
            <w:noWrap/>
            <w:vAlign w:val="bottom"/>
            <w:hideMark/>
          </w:tcPr>
          <w:p w14:paraId="54AA5D0A" w14:textId="0DCAE81D" w:rsidR="00433D1B" w:rsidRPr="003A0AE5" w:rsidRDefault="00433D1B" w:rsidP="00F311C5">
            <w:pPr>
              <w:widowControl/>
              <w:autoSpaceDE/>
              <w:autoSpaceDN/>
              <w:adjustRightInd/>
              <w:rPr>
                <w:rFonts w:eastAsia="Times New Roman" w:cs="Arial"/>
                <w:color w:val="000000"/>
                <w:sz w:val="20"/>
                <w:szCs w:val="22"/>
              </w:rPr>
            </w:pPr>
            <w:r>
              <w:rPr>
                <w:rFonts w:cs="Arial"/>
                <w:color w:val="000000"/>
                <w:sz w:val="20"/>
                <w:szCs w:val="20"/>
              </w:rPr>
              <w:t xml:space="preserve"> </w:t>
            </w:r>
            <w:r w:rsidR="00F311C5">
              <w:rPr>
                <w:rFonts w:cs="Arial"/>
                <w:color w:val="000000"/>
                <w:sz w:val="20"/>
                <w:szCs w:val="20"/>
              </w:rPr>
              <w:t xml:space="preserve"> </w:t>
            </w:r>
            <w:r>
              <w:rPr>
                <w:rFonts w:cs="Arial"/>
                <w:color w:val="000000"/>
                <w:sz w:val="20"/>
                <w:szCs w:val="20"/>
              </w:rPr>
              <w:t xml:space="preserve">      284,769,205 </w:t>
            </w:r>
          </w:p>
        </w:tc>
      </w:tr>
      <w:tr w:rsidR="00433D1B" w:rsidRPr="000F697B" w14:paraId="6BC6AA1D" w14:textId="77777777" w:rsidTr="00433D1B">
        <w:trPr>
          <w:trHeight w:val="261"/>
        </w:trPr>
        <w:tc>
          <w:tcPr>
            <w:tcW w:w="1328" w:type="pct"/>
            <w:tcBorders>
              <w:top w:val="double" w:sz="6" w:space="0" w:color="5B9BD5"/>
              <w:left w:val="single" w:sz="4" w:space="0" w:color="5B9BD5"/>
              <w:bottom w:val="single" w:sz="4" w:space="0" w:color="5B9BD5"/>
              <w:right w:val="nil"/>
            </w:tcBorders>
            <w:shd w:val="clear" w:color="auto" w:fill="auto"/>
            <w:noWrap/>
            <w:vAlign w:val="bottom"/>
            <w:hideMark/>
          </w:tcPr>
          <w:p w14:paraId="37C0020C" w14:textId="77777777" w:rsidR="00433D1B" w:rsidRPr="003A0AE5" w:rsidRDefault="00433D1B" w:rsidP="00433D1B">
            <w:pPr>
              <w:widowControl/>
              <w:autoSpaceDE/>
              <w:autoSpaceDN/>
              <w:adjustRightInd/>
              <w:rPr>
                <w:rFonts w:eastAsia="Times New Roman" w:cs="Arial"/>
                <w:b/>
                <w:bCs/>
                <w:color w:val="000000"/>
                <w:sz w:val="20"/>
                <w:szCs w:val="22"/>
              </w:rPr>
            </w:pPr>
            <w:r w:rsidRPr="003A0AE5">
              <w:rPr>
                <w:rFonts w:eastAsia="Times New Roman" w:cs="Arial"/>
                <w:b/>
                <w:bCs/>
                <w:color w:val="000000"/>
                <w:sz w:val="20"/>
                <w:szCs w:val="22"/>
              </w:rPr>
              <w:t>Total</w:t>
            </w:r>
          </w:p>
        </w:tc>
        <w:tc>
          <w:tcPr>
            <w:tcW w:w="964" w:type="pct"/>
            <w:tcBorders>
              <w:top w:val="double" w:sz="6" w:space="0" w:color="5B9BD5"/>
              <w:left w:val="nil"/>
              <w:bottom w:val="single" w:sz="4" w:space="0" w:color="5B9BD5"/>
              <w:right w:val="nil"/>
            </w:tcBorders>
            <w:shd w:val="clear" w:color="auto" w:fill="auto"/>
            <w:noWrap/>
            <w:vAlign w:val="bottom"/>
            <w:hideMark/>
          </w:tcPr>
          <w:p w14:paraId="5C1B5808" w14:textId="28B00D87" w:rsidR="00433D1B" w:rsidRPr="003A0AE5" w:rsidRDefault="00433D1B" w:rsidP="00433D1B">
            <w:pPr>
              <w:widowControl/>
              <w:autoSpaceDE/>
              <w:autoSpaceDN/>
              <w:adjustRightInd/>
              <w:rPr>
                <w:rFonts w:eastAsia="Times New Roman" w:cs="Arial"/>
                <w:b/>
                <w:bCs/>
                <w:color w:val="000000"/>
                <w:sz w:val="20"/>
                <w:szCs w:val="22"/>
              </w:rPr>
            </w:pPr>
            <w:r>
              <w:rPr>
                <w:rFonts w:cs="Arial"/>
                <w:b/>
                <w:bCs/>
                <w:color w:val="000000"/>
                <w:sz w:val="20"/>
                <w:szCs w:val="20"/>
              </w:rPr>
              <w:t>503,914,204</w:t>
            </w:r>
          </w:p>
        </w:tc>
        <w:tc>
          <w:tcPr>
            <w:tcW w:w="872" w:type="pct"/>
            <w:tcBorders>
              <w:top w:val="double" w:sz="6" w:space="0" w:color="5B9BD5"/>
              <w:left w:val="nil"/>
              <w:bottom w:val="single" w:sz="4" w:space="0" w:color="5B9BD5"/>
              <w:right w:val="nil"/>
            </w:tcBorders>
            <w:shd w:val="clear" w:color="auto" w:fill="auto"/>
            <w:noWrap/>
            <w:vAlign w:val="bottom"/>
            <w:hideMark/>
          </w:tcPr>
          <w:p w14:paraId="200D044C" w14:textId="7A101609" w:rsidR="00433D1B" w:rsidRPr="003A0AE5" w:rsidRDefault="00433D1B" w:rsidP="00433D1B">
            <w:pPr>
              <w:widowControl/>
              <w:autoSpaceDE/>
              <w:autoSpaceDN/>
              <w:adjustRightInd/>
              <w:jc w:val="right"/>
              <w:rPr>
                <w:rFonts w:eastAsia="Times New Roman" w:cs="Arial"/>
                <w:b/>
                <w:bCs/>
                <w:color w:val="000000"/>
                <w:sz w:val="20"/>
                <w:szCs w:val="22"/>
              </w:rPr>
            </w:pPr>
            <w:r>
              <w:rPr>
                <w:rFonts w:cs="Arial"/>
                <w:b/>
                <w:bCs/>
                <w:color w:val="000000"/>
                <w:sz w:val="20"/>
                <w:szCs w:val="20"/>
              </w:rPr>
              <w:t>589,540,254</w:t>
            </w:r>
          </w:p>
        </w:tc>
        <w:tc>
          <w:tcPr>
            <w:tcW w:w="872" w:type="pct"/>
            <w:tcBorders>
              <w:top w:val="double" w:sz="6" w:space="0" w:color="5B9BD5"/>
              <w:left w:val="nil"/>
              <w:bottom w:val="single" w:sz="4" w:space="0" w:color="5B9BD5"/>
              <w:right w:val="nil"/>
            </w:tcBorders>
            <w:shd w:val="clear" w:color="auto" w:fill="auto"/>
            <w:noWrap/>
            <w:vAlign w:val="bottom"/>
            <w:hideMark/>
          </w:tcPr>
          <w:p w14:paraId="2E6AA5D6" w14:textId="241506B0" w:rsidR="00433D1B" w:rsidRPr="003A0AE5" w:rsidRDefault="00433D1B" w:rsidP="00F311C5">
            <w:pPr>
              <w:widowControl/>
              <w:autoSpaceDE/>
              <w:autoSpaceDN/>
              <w:adjustRightInd/>
              <w:jc w:val="right"/>
              <w:rPr>
                <w:rFonts w:eastAsia="Times New Roman" w:cs="Arial"/>
                <w:b/>
                <w:bCs/>
                <w:color w:val="000000"/>
                <w:sz w:val="20"/>
                <w:szCs w:val="22"/>
              </w:rPr>
            </w:pPr>
            <w:r>
              <w:rPr>
                <w:rFonts w:cs="Arial"/>
                <w:b/>
                <w:bCs/>
                <w:color w:val="000000"/>
                <w:sz w:val="20"/>
                <w:szCs w:val="20"/>
              </w:rPr>
              <w:t xml:space="preserve">       526,916,241 </w:t>
            </w:r>
          </w:p>
        </w:tc>
        <w:tc>
          <w:tcPr>
            <w:tcW w:w="964" w:type="pct"/>
            <w:tcBorders>
              <w:top w:val="double" w:sz="6" w:space="0" w:color="5B9BD5"/>
              <w:left w:val="nil"/>
              <w:bottom w:val="single" w:sz="4" w:space="0" w:color="5B9BD5"/>
              <w:right w:val="single" w:sz="4" w:space="0" w:color="5B9BD5"/>
            </w:tcBorders>
            <w:shd w:val="clear" w:color="auto" w:fill="auto"/>
            <w:noWrap/>
            <w:vAlign w:val="bottom"/>
            <w:hideMark/>
          </w:tcPr>
          <w:p w14:paraId="4C68CE7F" w14:textId="3A40CE1D" w:rsidR="00433D1B" w:rsidRPr="003A0AE5" w:rsidRDefault="00433D1B" w:rsidP="00F311C5">
            <w:pPr>
              <w:widowControl/>
              <w:autoSpaceDE/>
              <w:autoSpaceDN/>
              <w:adjustRightInd/>
              <w:rPr>
                <w:rFonts w:eastAsia="Times New Roman" w:cs="Arial"/>
                <w:b/>
                <w:bCs/>
                <w:color w:val="000000"/>
                <w:sz w:val="20"/>
                <w:szCs w:val="22"/>
              </w:rPr>
            </w:pPr>
            <w:r>
              <w:rPr>
                <w:rFonts w:cs="Arial"/>
                <w:b/>
                <w:bCs/>
                <w:color w:val="000000"/>
                <w:sz w:val="20"/>
                <w:szCs w:val="20"/>
              </w:rPr>
              <w:t xml:space="preserve"> </w:t>
            </w:r>
            <w:r w:rsidR="00F311C5">
              <w:rPr>
                <w:rFonts w:cs="Arial"/>
                <w:b/>
                <w:bCs/>
                <w:color w:val="000000"/>
                <w:sz w:val="20"/>
                <w:szCs w:val="20"/>
              </w:rPr>
              <w:t xml:space="preserve"> </w:t>
            </w:r>
            <w:r>
              <w:rPr>
                <w:rFonts w:cs="Arial"/>
                <w:b/>
                <w:bCs/>
                <w:color w:val="000000"/>
                <w:sz w:val="20"/>
                <w:szCs w:val="20"/>
              </w:rPr>
              <w:t xml:space="preserve">      554,914,501 </w:t>
            </w:r>
          </w:p>
        </w:tc>
      </w:tr>
    </w:tbl>
    <w:p w14:paraId="3F78FB6B" w14:textId="77777777" w:rsidR="00D56CC2" w:rsidRPr="000F697B" w:rsidRDefault="00D56CC2" w:rsidP="00E749F5">
      <w:pPr>
        <w:jc w:val="both"/>
        <w:rPr>
          <w:rFonts w:cs="Arial"/>
          <w:b/>
          <w:szCs w:val="20"/>
        </w:rPr>
      </w:pPr>
    </w:p>
    <w:p w14:paraId="1F520C78" w14:textId="77777777" w:rsidR="00E749F5" w:rsidRPr="000F697B" w:rsidRDefault="00E749F5" w:rsidP="00E749F5">
      <w:pPr>
        <w:jc w:val="both"/>
        <w:rPr>
          <w:rFonts w:cs="Arial"/>
          <w:b/>
          <w:szCs w:val="20"/>
        </w:rPr>
      </w:pPr>
      <w:r w:rsidRPr="000F697B">
        <w:rPr>
          <w:rFonts w:cs="Arial"/>
          <w:b/>
          <w:szCs w:val="20"/>
        </w:rPr>
        <w:t>Political Subdivisions and Qualified Non-Profits Summary</w:t>
      </w:r>
    </w:p>
    <w:p w14:paraId="29B50DD8" w14:textId="77777777" w:rsidR="00E749F5" w:rsidRPr="000F697B" w:rsidRDefault="00E749F5" w:rsidP="00E749F5">
      <w:pPr>
        <w:jc w:val="both"/>
        <w:rPr>
          <w:rFonts w:cs="Arial"/>
          <w:b/>
          <w:szCs w:val="22"/>
        </w:rPr>
      </w:pPr>
      <w:r w:rsidRPr="000F697B">
        <w:rPr>
          <w:rFonts w:cs="Arial"/>
          <w:b/>
          <w:szCs w:val="20"/>
        </w:rPr>
        <w:t xml:space="preserve"> </w:t>
      </w:r>
    </w:p>
    <w:tbl>
      <w:tblPr>
        <w:tblW w:w="5000" w:type="pct"/>
        <w:tblLook w:val="04A0" w:firstRow="1" w:lastRow="0" w:firstColumn="1" w:lastColumn="0" w:noHBand="0" w:noVBand="1"/>
      </w:tblPr>
      <w:tblGrid>
        <w:gridCol w:w="2445"/>
        <w:gridCol w:w="1765"/>
        <w:gridCol w:w="1593"/>
        <w:gridCol w:w="1718"/>
        <w:gridCol w:w="1829"/>
      </w:tblGrid>
      <w:tr w:rsidR="00433D1B" w:rsidRPr="000F697B" w14:paraId="39D982B8" w14:textId="77777777" w:rsidTr="00433D1B">
        <w:trPr>
          <w:trHeight w:val="279"/>
        </w:trPr>
        <w:tc>
          <w:tcPr>
            <w:tcW w:w="1328" w:type="pct"/>
            <w:tcBorders>
              <w:top w:val="single" w:sz="4" w:space="0" w:color="ED7D31"/>
              <w:left w:val="single" w:sz="4" w:space="0" w:color="ED7D31"/>
              <w:bottom w:val="nil"/>
              <w:right w:val="nil"/>
            </w:tcBorders>
            <w:shd w:val="clear" w:color="ED7D31" w:fill="ED7D31"/>
            <w:noWrap/>
            <w:vAlign w:val="bottom"/>
            <w:hideMark/>
          </w:tcPr>
          <w:p w14:paraId="21E0DE6E" w14:textId="77777777" w:rsidR="00433D1B" w:rsidRPr="003A0AE5" w:rsidRDefault="00433D1B" w:rsidP="00433D1B">
            <w:pPr>
              <w:widowControl/>
              <w:autoSpaceDE/>
              <w:autoSpaceDN/>
              <w:adjustRightInd/>
              <w:rPr>
                <w:rFonts w:eastAsia="Times New Roman" w:cs="Arial"/>
                <w:b/>
                <w:bCs/>
                <w:color w:val="FFFFFF"/>
                <w:sz w:val="20"/>
                <w:szCs w:val="22"/>
              </w:rPr>
            </w:pPr>
            <w:r w:rsidRPr="003A0AE5">
              <w:rPr>
                <w:rFonts w:eastAsia="Times New Roman" w:cs="Arial"/>
                <w:b/>
                <w:bCs/>
                <w:color w:val="FFFFFF"/>
                <w:sz w:val="20"/>
                <w:szCs w:val="22"/>
              </w:rPr>
              <w:t>Contract Type</w:t>
            </w:r>
          </w:p>
        </w:tc>
        <w:tc>
          <w:tcPr>
            <w:tcW w:w="964" w:type="pct"/>
            <w:tcBorders>
              <w:top w:val="single" w:sz="4" w:space="0" w:color="ED7D31"/>
              <w:left w:val="nil"/>
              <w:bottom w:val="nil"/>
              <w:right w:val="nil"/>
            </w:tcBorders>
            <w:shd w:val="clear" w:color="ED7D31" w:fill="ED7D31"/>
            <w:noWrap/>
            <w:vAlign w:val="bottom"/>
            <w:hideMark/>
          </w:tcPr>
          <w:p w14:paraId="4AC1D5F6" w14:textId="218B3F05" w:rsidR="00433D1B" w:rsidRPr="003A0AE5" w:rsidRDefault="00433D1B" w:rsidP="00433D1B">
            <w:pPr>
              <w:widowControl/>
              <w:autoSpaceDE/>
              <w:autoSpaceDN/>
              <w:adjustRightInd/>
              <w:jc w:val="center"/>
              <w:rPr>
                <w:rFonts w:eastAsia="Times New Roman" w:cs="Arial"/>
                <w:b/>
                <w:bCs/>
                <w:color w:val="FFFFFF"/>
                <w:sz w:val="20"/>
                <w:szCs w:val="22"/>
              </w:rPr>
            </w:pPr>
            <w:r>
              <w:rPr>
                <w:rFonts w:cs="Arial"/>
                <w:b/>
                <w:bCs/>
                <w:color w:val="FFFFFF"/>
                <w:sz w:val="20"/>
                <w:szCs w:val="20"/>
              </w:rPr>
              <w:t>FY18</w:t>
            </w:r>
          </w:p>
        </w:tc>
        <w:tc>
          <w:tcPr>
            <w:tcW w:w="872" w:type="pct"/>
            <w:tcBorders>
              <w:top w:val="single" w:sz="4" w:space="0" w:color="ED7D31"/>
              <w:left w:val="nil"/>
              <w:bottom w:val="nil"/>
              <w:right w:val="nil"/>
            </w:tcBorders>
            <w:shd w:val="clear" w:color="ED7D31" w:fill="ED7D31"/>
            <w:noWrap/>
            <w:vAlign w:val="bottom"/>
            <w:hideMark/>
          </w:tcPr>
          <w:p w14:paraId="093A1A75" w14:textId="15095438" w:rsidR="00433D1B" w:rsidRPr="003A0AE5" w:rsidRDefault="00433D1B" w:rsidP="00433D1B">
            <w:pPr>
              <w:widowControl/>
              <w:autoSpaceDE/>
              <w:autoSpaceDN/>
              <w:adjustRightInd/>
              <w:jc w:val="center"/>
              <w:rPr>
                <w:rFonts w:eastAsia="Times New Roman" w:cs="Arial"/>
                <w:b/>
                <w:bCs/>
                <w:color w:val="FFFFFF"/>
                <w:sz w:val="20"/>
                <w:szCs w:val="22"/>
              </w:rPr>
            </w:pPr>
            <w:r>
              <w:rPr>
                <w:rFonts w:cs="Arial"/>
                <w:b/>
                <w:bCs/>
                <w:color w:val="FFFFFF"/>
                <w:sz w:val="20"/>
                <w:szCs w:val="20"/>
              </w:rPr>
              <w:t>FY19</w:t>
            </w:r>
          </w:p>
        </w:tc>
        <w:tc>
          <w:tcPr>
            <w:tcW w:w="872" w:type="pct"/>
            <w:tcBorders>
              <w:top w:val="single" w:sz="4" w:space="0" w:color="ED7D31"/>
              <w:left w:val="nil"/>
              <w:bottom w:val="nil"/>
              <w:right w:val="nil"/>
            </w:tcBorders>
            <w:shd w:val="clear" w:color="ED7D31" w:fill="ED7D31"/>
            <w:noWrap/>
            <w:vAlign w:val="bottom"/>
            <w:hideMark/>
          </w:tcPr>
          <w:p w14:paraId="1515B70D" w14:textId="294E39AA" w:rsidR="00433D1B" w:rsidRPr="003A0AE5" w:rsidRDefault="00433D1B" w:rsidP="00433D1B">
            <w:pPr>
              <w:widowControl/>
              <w:autoSpaceDE/>
              <w:autoSpaceDN/>
              <w:adjustRightInd/>
              <w:jc w:val="center"/>
              <w:rPr>
                <w:rFonts w:eastAsia="Times New Roman" w:cs="Arial"/>
                <w:b/>
                <w:bCs/>
                <w:color w:val="FFFFFF"/>
                <w:sz w:val="20"/>
                <w:szCs w:val="22"/>
              </w:rPr>
            </w:pPr>
            <w:r>
              <w:rPr>
                <w:rFonts w:cs="Arial"/>
                <w:b/>
                <w:bCs/>
                <w:color w:val="FFFFFF"/>
                <w:sz w:val="20"/>
                <w:szCs w:val="20"/>
              </w:rPr>
              <w:t xml:space="preserve"> FY20 </w:t>
            </w:r>
          </w:p>
        </w:tc>
        <w:tc>
          <w:tcPr>
            <w:tcW w:w="964" w:type="pct"/>
            <w:tcBorders>
              <w:top w:val="single" w:sz="4" w:space="0" w:color="ED7D31"/>
              <w:left w:val="nil"/>
              <w:bottom w:val="nil"/>
              <w:right w:val="single" w:sz="4" w:space="0" w:color="ED7D31"/>
            </w:tcBorders>
            <w:shd w:val="clear" w:color="ED7D31" w:fill="ED7D31"/>
            <w:noWrap/>
            <w:vAlign w:val="bottom"/>
            <w:hideMark/>
          </w:tcPr>
          <w:p w14:paraId="7D1C1834" w14:textId="5DD627C5" w:rsidR="00433D1B" w:rsidRPr="003A0AE5" w:rsidRDefault="00433D1B" w:rsidP="00433D1B">
            <w:pPr>
              <w:widowControl/>
              <w:autoSpaceDE/>
              <w:autoSpaceDN/>
              <w:adjustRightInd/>
              <w:jc w:val="center"/>
              <w:rPr>
                <w:rFonts w:eastAsia="Times New Roman" w:cs="Arial"/>
                <w:b/>
                <w:bCs/>
                <w:color w:val="FFFFFF"/>
                <w:sz w:val="20"/>
                <w:szCs w:val="22"/>
              </w:rPr>
            </w:pPr>
            <w:r>
              <w:rPr>
                <w:rFonts w:cs="Arial"/>
                <w:b/>
                <w:bCs/>
                <w:color w:val="FFFFFF"/>
                <w:sz w:val="20"/>
                <w:szCs w:val="20"/>
              </w:rPr>
              <w:t xml:space="preserve"> FY21 </w:t>
            </w:r>
          </w:p>
        </w:tc>
      </w:tr>
      <w:tr w:rsidR="00433D1B" w:rsidRPr="000F697B" w14:paraId="5FB78485" w14:textId="77777777" w:rsidTr="00433D1B">
        <w:trPr>
          <w:trHeight w:val="279"/>
        </w:trPr>
        <w:tc>
          <w:tcPr>
            <w:tcW w:w="1328" w:type="pct"/>
            <w:tcBorders>
              <w:top w:val="single" w:sz="4" w:space="0" w:color="ED7D31"/>
              <w:left w:val="single" w:sz="4" w:space="0" w:color="ED7D31"/>
              <w:bottom w:val="nil"/>
              <w:right w:val="nil"/>
            </w:tcBorders>
            <w:shd w:val="clear" w:color="auto" w:fill="auto"/>
            <w:noWrap/>
            <w:vAlign w:val="bottom"/>
            <w:hideMark/>
          </w:tcPr>
          <w:p w14:paraId="6878A22F" w14:textId="2B84967B" w:rsidR="00433D1B" w:rsidRPr="003A0AE5" w:rsidRDefault="00433D1B" w:rsidP="00433D1B">
            <w:pPr>
              <w:widowControl/>
              <w:autoSpaceDE/>
              <w:autoSpaceDN/>
              <w:adjustRightInd/>
              <w:rPr>
                <w:rFonts w:eastAsia="Times New Roman" w:cs="Arial"/>
                <w:color w:val="000000"/>
                <w:sz w:val="20"/>
                <w:szCs w:val="22"/>
              </w:rPr>
            </w:pPr>
            <w:r w:rsidRPr="003A0AE5">
              <w:rPr>
                <w:rFonts w:eastAsia="Times New Roman" w:cs="Arial"/>
                <w:color w:val="000000"/>
                <w:sz w:val="20"/>
                <w:szCs w:val="22"/>
              </w:rPr>
              <w:t xml:space="preserve">IT </w:t>
            </w:r>
            <w:r w:rsidR="0030367F">
              <w:rPr>
                <w:rFonts w:eastAsia="Times New Roman" w:cs="Arial"/>
                <w:color w:val="000000"/>
                <w:sz w:val="20"/>
                <w:szCs w:val="22"/>
              </w:rPr>
              <w:t xml:space="preserve">Master </w:t>
            </w:r>
            <w:r w:rsidRPr="003A0AE5">
              <w:rPr>
                <w:rFonts w:eastAsia="Times New Roman" w:cs="Arial"/>
                <w:color w:val="000000"/>
                <w:sz w:val="20"/>
                <w:szCs w:val="22"/>
              </w:rPr>
              <w:t>Contract</w:t>
            </w:r>
          </w:p>
        </w:tc>
        <w:tc>
          <w:tcPr>
            <w:tcW w:w="964" w:type="pct"/>
            <w:tcBorders>
              <w:top w:val="single" w:sz="4" w:space="0" w:color="ED7D31"/>
              <w:left w:val="nil"/>
              <w:bottom w:val="nil"/>
              <w:right w:val="nil"/>
            </w:tcBorders>
            <w:shd w:val="clear" w:color="auto" w:fill="auto"/>
            <w:noWrap/>
            <w:vAlign w:val="bottom"/>
            <w:hideMark/>
          </w:tcPr>
          <w:p w14:paraId="76F2E101" w14:textId="26F1ADC7" w:rsidR="00433D1B" w:rsidRPr="003A0AE5" w:rsidRDefault="00433D1B" w:rsidP="00433D1B">
            <w:pPr>
              <w:widowControl/>
              <w:autoSpaceDE/>
              <w:autoSpaceDN/>
              <w:adjustRightInd/>
              <w:rPr>
                <w:rFonts w:eastAsia="Times New Roman" w:cs="Arial"/>
                <w:color w:val="000000"/>
                <w:sz w:val="20"/>
                <w:szCs w:val="22"/>
              </w:rPr>
            </w:pPr>
            <w:r>
              <w:rPr>
                <w:rFonts w:cs="Arial"/>
                <w:color w:val="000000"/>
                <w:sz w:val="20"/>
                <w:szCs w:val="20"/>
              </w:rPr>
              <w:t>225,808,719</w:t>
            </w:r>
          </w:p>
        </w:tc>
        <w:tc>
          <w:tcPr>
            <w:tcW w:w="872" w:type="pct"/>
            <w:tcBorders>
              <w:top w:val="single" w:sz="4" w:space="0" w:color="ED7D31"/>
              <w:left w:val="nil"/>
              <w:bottom w:val="nil"/>
              <w:right w:val="nil"/>
            </w:tcBorders>
            <w:shd w:val="clear" w:color="auto" w:fill="auto"/>
            <w:noWrap/>
            <w:vAlign w:val="bottom"/>
            <w:hideMark/>
          </w:tcPr>
          <w:p w14:paraId="5EAECDD6" w14:textId="62943B06" w:rsidR="00433D1B" w:rsidRPr="003A0AE5" w:rsidRDefault="00433D1B" w:rsidP="00433D1B">
            <w:pPr>
              <w:widowControl/>
              <w:autoSpaceDE/>
              <w:autoSpaceDN/>
              <w:adjustRightInd/>
              <w:jc w:val="right"/>
              <w:rPr>
                <w:rFonts w:eastAsia="Times New Roman" w:cs="Arial"/>
                <w:color w:val="000000"/>
                <w:sz w:val="20"/>
                <w:szCs w:val="22"/>
              </w:rPr>
            </w:pPr>
            <w:r>
              <w:rPr>
                <w:rFonts w:cs="Arial"/>
                <w:color w:val="000000"/>
                <w:sz w:val="20"/>
                <w:szCs w:val="20"/>
              </w:rPr>
              <w:t>283,250,234</w:t>
            </w:r>
          </w:p>
        </w:tc>
        <w:tc>
          <w:tcPr>
            <w:tcW w:w="872" w:type="pct"/>
            <w:tcBorders>
              <w:top w:val="single" w:sz="4" w:space="0" w:color="ED7D31"/>
              <w:left w:val="nil"/>
              <w:bottom w:val="nil"/>
              <w:right w:val="nil"/>
            </w:tcBorders>
            <w:shd w:val="clear" w:color="auto" w:fill="auto"/>
            <w:noWrap/>
            <w:vAlign w:val="bottom"/>
            <w:hideMark/>
          </w:tcPr>
          <w:p w14:paraId="731B68ED" w14:textId="2234203A" w:rsidR="00433D1B" w:rsidRPr="003A0AE5" w:rsidRDefault="00433D1B" w:rsidP="00F311C5">
            <w:pPr>
              <w:widowControl/>
              <w:autoSpaceDE/>
              <w:autoSpaceDN/>
              <w:adjustRightInd/>
              <w:jc w:val="right"/>
              <w:rPr>
                <w:rFonts w:eastAsia="Times New Roman" w:cs="Arial"/>
                <w:color w:val="000000"/>
                <w:sz w:val="20"/>
                <w:szCs w:val="22"/>
              </w:rPr>
            </w:pPr>
            <w:r>
              <w:rPr>
                <w:rFonts w:cs="Arial"/>
                <w:color w:val="000000"/>
                <w:sz w:val="20"/>
                <w:szCs w:val="20"/>
              </w:rPr>
              <w:t xml:space="preserve">       318,423,789 </w:t>
            </w:r>
          </w:p>
        </w:tc>
        <w:tc>
          <w:tcPr>
            <w:tcW w:w="964" w:type="pct"/>
            <w:tcBorders>
              <w:top w:val="single" w:sz="4" w:space="0" w:color="ED7D31"/>
              <w:left w:val="nil"/>
              <w:bottom w:val="nil"/>
              <w:right w:val="single" w:sz="4" w:space="0" w:color="ED7D31"/>
            </w:tcBorders>
            <w:shd w:val="clear" w:color="auto" w:fill="auto"/>
            <w:noWrap/>
            <w:vAlign w:val="bottom"/>
            <w:hideMark/>
          </w:tcPr>
          <w:p w14:paraId="7D95324C" w14:textId="2C59DE7B" w:rsidR="00433D1B" w:rsidRPr="003A0AE5" w:rsidRDefault="00433D1B" w:rsidP="00F311C5">
            <w:pPr>
              <w:widowControl/>
              <w:autoSpaceDE/>
              <w:autoSpaceDN/>
              <w:adjustRightInd/>
              <w:rPr>
                <w:rFonts w:eastAsia="Times New Roman" w:cs="Arial"/>
                <w:color w:val="000000"/>
                <w:sz w:val="20"/>
                <w:szCs w:val="22"/>
              </w:rPr>
            </w:pPr>
            <w:r>
              <w:rPr>
                <w:rFonts w:cs="Arial"/>
                <w:color w:val="000000"/>
                <w:sz w:val="20"/>
                <w:szCs w:val="20"/>
              </w:rPr>
              <w:t xml:space="preserve"> </w:t>
            </w:r>
            <w:r w:rsidR="00F311C5">
              <w:rPr>
                <w:rFonts w:cs="Arial"/>
                <w:color w:val="000000"/>
                <w:sz w:val="20"/>
                <w:szCs w:val="20"/>
              </w:rPr>
              <w:t xml:space="preserve">  </w:t>
            </w:r>
            <w:r>
              <w:rPr>
                <w:rFonts w:cs="Arial"/>
                <w:color w:val="000000"/>
                <w:sz w:val="20"/>
                <w:szCs w:val="20"/>
              </w:rPr>
              <w:t xml:space="preserve">      370,343,645 </w:t>
            </w:r>
          </w:p>
        </w:tc>
      </w:tr>
      <w:tr w:rsidR="00433D1B" w:rsidRPr="000F697B" w14:paraId="2DA87B34" w14:textId="77777777" w:rsidTr="00433D1B">
        <w:trPr>
          <w:trHeight w:val="279"/>
        </w:trPr>
        <w:tc>
          <w:tcPr>
            <w:tcW w:w="1328" w:type="pct"/>
            <w:tcBorders>
              <w:top w:val="single" w:sz="4" w:space="0" w:color="ED7D31"/>
              <w:left w:val="single" w:sz="4" w:space="0" w:color="ED7D31"/>
              <w:bottom w:val="nil"/>
              <w:right w:val="nil"/>
            </w:tcBorders>
            <w:shd w:val="clear" w:color="auto" w:fill="auto"/>
            <w:noWrap/>
            <w:vAlign w:val="bottom"/>
            <w:hideMark/>
          </w:tcPr>
          <w:p w14:paraId="1E63C659" w14:textId="77777777" w:rsidR="00433D1B" w:rsidRPr="003A0AE5" w:rsidRDefault="00433D1B" w:rsidP="00433D1B">
            <w:pPr>
              <w:widowControl/>
              <w:autoSpaceDE/>
              <w:autoSpaceDN/>
              <w:adjustRightInd/>
              <w:rPr>
                <w:rFonts w:eastAsia="Times New Roman" w:cs="Arial"/>
                <w:color w:val="000000"/>
                <w:sz w:val="20"/>
                <w:szCs w:val="22"/>
              </w:rPr>
            </w:pPr>
            <w:proofErr w:type="gramStart"/>
            <w:r w:rsidRPr="003A0AE5">
              <w:rPr>
                <w:rFonts w:eastAsia="Times New Roman" w:cs="Arial"/>
                <w:color w:val="000000"/>
                <w:sz w:val="20"/>
                <w:szCs w:val="22"/>
              </w:rPr>
              <w:t>Non IT</w:t>
            </w:r>
            <w:proofErr w:type="gramEnd"/>
            <w:r w:rsidRPr="003A0AE5">
              <w:rPr>
                <w:rFonts w:eastAsia="Times New Roman" w:cs="Arial"/>
                <w:color w:val="000000"/>
                <w:sz w:val="20"/>
                <w:szCs w:val="22"/>
              </w:rPr>
              <w:t xml:space="preserve"> Master Contract</w:t>
            </w:r>
          </w:p>
        </w:tc>
        <w:tc>
          <w:tcPr>
            <w:tcW w:w="964" w:type="pct"/>
            <w:tcBorders>
              <w:top w:val="single" w:sz="4" w:space="0" w:color="ED7D31"/>
              <w:left w:val="nil"/>
              <w:bottom w:val="nil"/>
              <w:right w:val="nil"/>
            </w:tcBorders>
            <w:shd w:val="clear" w:color="auto" w:fill="auto"/>
            <w:noWrap/>
            <w:vAlign w:val="bottom"/>
            <w:hideMark/>
          </w:tcPr>
          <w:p w14:paraId="74BD0A9D" w14:textId="4F849732" w:rsidR="00433D1B" w:rsidRPr="003A0AE5" w:rsidRDefault="00433D1B" w:rsidP="00433D1B">
            <w:pPr>
              <w:widowControl/>
              <w:autoSpaceDE/>
              <w:autoSpaceDN/>
              <w:adjustRightInd/>
              <w:rPr>
                <w:rFonts w:eastAsia="Times New Roman" w:cs="Arial"/>
                <w:color w:val="000000"/>
                <w:sz w:val="20"/>
                <w:szCs w:val="22"/>
              </w:rPr>
            </w:pPr>
            <w:r>
              <w:rPr>
                <w:rFonts w:cs="Arial"/>
                <w:color w:val="000000"/>
                <w:sz w:val="20"/>
                <w:szCs w:val="20"/>
              </w:rPr>
              <w:t>623,167,897</w:t>
            </w:r>
          </w:p>
        </w:tc>
        <w:tc>
          <w:tcPr>
            <w:tcW w:w="872" w:type="pct"/>
            <w:tcBorders>
              <w:top w:val="single" w:sz="4" w:space="0" w:color="ED7D31"/>
              <w:left w:val="nil"/>
              <w:bottom w:val="nil"/>
              <w:right w:val="nil"/>
            </w:tcBorders>
            <w:shd w:val="clear" w:color="auto" w:fill="auto"/>
            <w:noWrap/>
            <w:vAlign w:val="bottom"/>
            <w:hideMark/>
          </w:tcPr>
          <w:p w14:paraId="134D116A" w14:textId="71758646" w:rsidR="00433D1B" w:rsidRPr="003A0AE5" w:rsidRDefault="00433D1B" w:rsidP="00433D1B">
            <w:pPr>
              <w:widowControl/>
              <w:autoSpaceDE/>
              <w:autoSpaceDN/>
              <w:adjustRightInd/>
              <w:jc w:val="right"/>
              <w:rPr>
                <w:rFonts w:eastAsia="Times New Roman" w:cs="Arial"/>
                <w:color w:val="000000"/>
                <w:sz w:val="20"/>
                <w:szCs w:val="22"/>
              </w:rPr>
            </w:pPr>
            <w:r>
              <w:rPr>
                <w:rFonts w:cs="Arial"/>
                <w:color w:val="000000"/>
                <w:sz w:val="20"/>
                <w:szCs w:val="20"/>
              </w:rPr>
              <w:t>535,118,714</w:t>
            </w:r>
          </w:p>
        </w:tc>
        <w:tc>
          <w:tcPr>
            <w:tcW w:w="872" w:type="pct"/>
            <w:tcBorders>
              <w:top w:val="single" w:sz="4" w:space="0" w:color="ED7D31"/>
              <w:left w:val="nil"/>
              <w:bottom w:val="nil"/>
              <w:right w:val="nil"/>
            </w:tcBorders>
            <w:shd w:val="clear" w:color="auto" w:fill="auto"/>
            <w:noWrap/>
            <w:vAlign w:val="bottom"/>
            <w:hideMark/>
          </w:tcPr>
          <w:p w14:paraId="0EA1C409" w14:textId="1D04B23C" w:rsidR="00433D1B" w:rsidRPr="003A0AE5" w:rsidRDefault="00F311C5" w:rsidP="00433D1B">
            <w:pPr>
              <w:widowControl/>
              <w:autoSpaceDE/>
              <w:autoSpaceDN/>
              <w:adjustRightInd/>
              <w:jc w:val="right"/>
              <w:rPr>
                <w:rFonts w:eastAsia="Times New Roman" w:cs="Arial"/>
                <w:color w:val="000000"/>
                <w:sz w:val="20"/>
                <w:szCs w:val="22"/>
              </w:rPr>
            </w:pPr>
            <w:r>
              <w:rPr>
                <w:rFonts w:cs="Arial"/>
                <w:color w:val="000000"/>
                <w:sz w:val="20"/>
                <w:szCs w:val="20"/>
              </w:rPr>
              <w:t xml:space="preserve"> </w:t>
            </w:r>
            <w:r w:rsidR="00433D1B">
              <w:rPr>
                <w:rFonts w:cs="Arial"/>
                <w:color w:val="000000"/>
                <w:sz w:val="20"/>
                <w:szCs w:val="20"/>
              </w:rPr>
              <w:t xml:space="preserve">      403,062,603 </w:t>
            </w:r>
          </w:p>
        </w:tc>
        <w:tc>
          <w:tcPr>
            <w:tcW w:w="964" w:type="pct"/>
            <w:tcBorders>
              <w:top w:val="single" w:sz="4" w:space="0" w:color="ED7D31"/>
              <w:left w:val="nil"/>
              <w:bottom w:val="nil"/>
              <w:right w:val="single" w:sz="4" w:space="0" w:color="ED7D31"/>
            </w:tcBorders>
            <w:shd w:val="clear" w:color="auto" w:fill="auto"/>
            <w:noWrap/>
            <w:vAlign w:val="bottom"/>
            <w:hideMark/>
          </w:tcPr>
          <w:p w14:paraId="6EEA4D68" w14:textId="31490E72" w:rsidR="00433D1B" w:rsidRPr="003A0AE5" w:rsidRDefault="00F311C5" w:rsidP="00433D1B">
            <w:pPr>
              <w:widowControl/>
              <w:autoSpaceDE/>
              <w:autoSpaceDN/>
              <w:adjustRightInd/>
              <w:rPr>
                <w:rFonts w:eastAsia="Times New Roman" w:cs="Arial"/>
                <w:color w:val="000000"/>
                <w:sz w:val="20"/>
                <w:szCs w:val="22"/>
              </w:rPr>
            </w:pPr>
            <w:r>
              <w:rPr>
                <w:rFonts w:cs="Arial"/>
                <w:color w:val="000000"/>
                <w:sz w:val="20"/>
                <w:szCs w:val="20"/>
              </w:rPr>
              <w:t xml:space="preserve">   </w:t>
            </w:r>
            <w:r w:rsidR="00433D1B">
              <w:rPr>
                <w:rFonts w:cs="Arial"/>
                <w:color w:val="000000"/>
                <w:sz w:val="20"/>
                <w:szCs w:val="20"/>
              </w:rPr>
              <w:t xml:space="preserve">      560,769,581 </w:t>
            </w:r>
          </w:p>
        </w:tc>
      </w:tr>
      <w:tr w:rsidR="00433D1B" w:rsidRPr="000F697B" w14:paraId="0CD45149" w14:textId="77777777" w:rsidTr="00433D1B">
        <w:trPr>
          <w:trHeight w:val="279"/>
        </w:trPr>
        <w:tc>
          <w:tcPr>
            <w:tcW w:w="1328" w:type="pct"/>
            <w:tcBorders>
              <w:top w:val="double" w:sz="6" w:space="0" w:color="ED7D31"/>
              <w:left w:val="single" w:sz="4" w:space="0" w:color="ED7D31"/>
              <w:bottom w:val="single" w:sz="4" w:space="0" w:color="ED7D31"/>
              <w:right w:val="nil"/>
            </w:tcBorders>
            <w:shd w:val="clear" w:color="auto" w:fill="auto"/>
            <w:noWrap/>
            <w:vAlign w:val="bottom"/>
            <w:hideMark/>
          </w:tcPr>
          <w:p w14:paraId="338B4D70" w14:textId="77777777" w:rsidR="00433D1B" w:rsidRPr="003A0AE5" w:rsidRDefault="00433D1B" w:rsidP="00433D1B">
            <w:pPr>
              <w:widowControl/>
              <w:autoSpaceDE/>
              <w:autoSpaceDN/>
              <w:adjustRightInd/>
              <w:rPr>
                <w:rFonts w:eastAsia="Times New Roman" w:cs="Arial"/>
                <w:b/>
                <w:bCs/>
                <w:color w:val="000000"/>
                <w:sz w:val="20"/>
                <w:szCs w:val="22"/>
              </w:rPr>
            </w:pPr>
            <w:r w:rsidRPr="003A0AE5">
              <w:rPr>
                <w:rFonts w:eastAsia="Times New Roman" w:cs="Arial"/>
                <w:b/>
                <w:bCs/>
                <w:color w:val="000000"/>
                <w:sz w:val="20"/>
                <w:szCs w:val="22"/>
              </w:rPr>
              <w:t>Total</w:t>
            </w:r>
          </w:p>
        </w:tc>
        <w:tc>
          <w:tcPr>
            <w:tcW w:w="964" w:type="pct"/>
            <w:tcBorders>
              <w:top w:val="double" w:sz="6" w:space="0" w:color="ED7D31"/>
              <w:left w:val="nil"/>
              <w:bottom w:val="single" w:sz="4" w:space="0" w:color="ED7D31"/>
              <w:right w:val="nil"/>
            </w:tcBorders>
            <w:shd w:val="clear" w:color="auto" w:fill="auto"/>
            <w:noWrap/>
            <w:vAlign w:val="bottom"/>
            <w:hideMark/>
          </w:tcPr>
          <w:p w14:paraId="02268979" w14:textId="7F41AF4F" w:rsidR="00433D1B" w:rsidRPr="003A0AE5" w:rsidRDefault="00433D1B" w:rsidP="00433D1B">
            <w:pPr>
              <w:widowControl/>
              <w:autoSpaceDE/>
              <w:autoSpaceDN/>
              <w:adjustRightInd/>
              <w:rPr>
                <w:rFonts w:eastAsia="Times New Roman" w:cs="Arial"/>
                <w:b/>
                <w:bCs/>
                <w:color w:val="000000"/>
                <w:sz w:val="20"/>
                <w:szCs w:val="22"/>
              </w:rPr>
            </w:pPr>
            <w:r>
              <w:rPr>
                <w:rFonts w:cs="Arial"/>
                <w:b/>
                <w:bCs/>
                <w:color w:val="000000"/>
                <w:sz w:val="20"/>
                <w:szCs w:val="20"/>
              </w:rPr>
              <w:t>848,976,616</w:t>
            </w:r>
          </w:p>
        </w:tc>
        <w:tc>
          <w:tcPr>
            <w:tcW w:w="872" w:type="pct"/>
            <w:tcBorders>
              <w:top w:val="double" w:sz="6" w:space="0" w:color="ED7D31"/>
              <w:left w:val="nil"/>
              <w:bottom w:val="single" w:sz="4" w:space="0" w:color="ED7D31"/>
              <w:right w:val="nil"/>
            </w:tcBorders>
            <w:shd w:val="clear" w:color="auto" w:fill="auto"/>
            <w:noWrap/>
            <w:vAlign w:val="bottom"/>
            <w:hideMark/>
          </w:tcPr>
          <w:p w14:paraId="1B749AE3" w14:textId="1D5CADA1" w:rsidR="00433D1B" w:rsidRPr="003A0AE5" w:rsidRDefault="00433D1B" w:rsidP="00433D1B">
            <w:pPr>
              <w:widowControl/>
              <w:autoSpaceDE/>
              <w:autoSpaceDN/>
              <w:adjustRightInd/>
              <w:jc w:val="right"/>
              <w:rPr>
                <w:rFonts w:eastAsia="Times New Roman" w:cs="Arial"/>
                <w:b/>
                <w:bCs/>
                <w:color w:val="000000"/>
                <w:sz w:val="20"/>
                <w:szCs w:val="22"/>
              </w:rPr>
            </w:pPr>
            <w:r>
              <w:rPr>
                <w:rFonts w:cs="Arial"/>
                <w:b/>
                <w:bCs/>
                <w:color w:val="000000"/>
                <w:sz w:val="20"/>
                <w:szCs w:val="20"/>
              </w:rPr>
              <w:t>818,368,948</w:t>
            </w:r>
          </w:p>
        </w:tc>
        <w:tc>
          <w:tcPr>
            <w:tcW w:w="872" w:type="pct"/>
            <w:tcBorders>
              <w:top w:val="double" w:sz="6" w:space="0" w:color="ED7D31"/>
              <w:left w:val="nil"/>
              <w:bottom w:val="single" w:sz="4" w:space="0" w:color="ED7D31"/>
              <w:right w:val="nil"/>
            </w:tcBorders>
            <w:shd w:val="clear" w:color="auto" w:fill="auto"/>
            <w:noWrap/>
            <w:vAlign w:val="bottom"/>
            <w:hideMark/>
          </w:tcPr>
          <w:p w14:paraId="6366A538" w14:textId="37BD7BAA" w:rsidR="00433D1B" w:rsidRPr="003A0AE5" w:rsidRDefault="00F311C5" w:rsidP="00433D1B">
            <w:pPr>
              <w:widowControl/>
              <w:autoSpaceDE/>
              <w:autoSpaceDN/>
              <w:adjustRightInd/>
              <w:jc w:val="right"/>
              <w:rPr>
                <w:rFonts w:eastAsia="Times New Roman" w:cs="Arial"/>
                <w:b/>
                <w:bCs/>
                <w:color w:val="000000"/>
                <w:sz w:val="20"/>
                <w:szCs w:val="22"/>
              </w:rPr>
            </w:pPr>
            <w:r>
              <w:rPr>
                <w:rFonts w:cs="Arial"/>
                <w:b/>
                <w:bCs/>
                <w:color w:val="000000"/>
                <w:sz w:val="20"/>
                <w:szCs w:val="20"/>
              </w:rPr>
              <w:t xml:space="preserve"> </w:t>
            </w:r>
            <w:r w:rsidR="00433D1B">
              <w:rPr>
                <w:rFonts w:cs="Arial"/>
                <w:b/>
                <w:bCs/>
                <w:color w:val="000000"/>
                <w:sz w:val="20"/>
                <w:szCs w:val="20"/>
              </w:rPr>
              <w:t xml:space="preserve">      721,486,392 </w:t>
            </w:r>
          </w:p>
        </w:tc>
        <w:tc>
          <w:tcPr>
            <w:tcW w:w="964" w:type="pct"/>
            <w:tcBorders>
              <w:top w:val="double" w:sz="6" w:space="0" w:color="ED7D31"/>
              <w:left w:val="nil"/>
              <w:bottom w:val="single" w:sz="4" w:space="0" w:color="ED7D31"/>
              <w:right w:val="single" w:sz="4" w:space="0" w:color="ED7D31"/>
            </w:tcBorders>
            <w:shd w:val="clear" w:color="auto" w:fill="auto"/>
            <w:noWrap/>
            <w:vAlign w:val="bottom"/>
            <w:hideMark/>
          </w:tcPr>
          <w:p w14:paraId="73DD535F" w14:textId="34DDA5FC" w:rsidR="00433D1B" w:rsidRPr="003A0AE5" w:rsidRDefault="00F311C5" w:rsidP="00433D1B">
            <w:pPr>
              <w:widowControl/>
              <w:autoSpaceDE/>
              <w:autoSpaceDN/>
              <w:adjustRightInd/>
              <w:rPr>
                <w:rFonts w:eastAsia="Times New Roman" w:cs="Arial"/>
                <w:b/>
                <w:bCs/>
                <w:color w:val="000000"/>
                <w:sz w:val="20"/>
                <w:szCs w:val="22"/>
              </w:rPr>
            </w:pPr>
            <w:r>
              <w:rPr>
                <w:rFonts w:cs="Arial"/>
                <w:b/>
                <w:bCs/>
                <w:color w:val="000000"/>
                <w:sz w:val="20"/>
                <w:szCs w:val="20"/>
              </w:rPr>
              <w:t xml:space="preserve">   </w:t>
            </w:r>
            <w:r w:rsidR="00433D1B">
              <w:rPr>
                <w:rFonts w:cs="Arial"/>
                <w:b/>
                <w:bCs/>
                <w:color w:val="000000"/>
                <w:sz w:val="20"/>
                <w:szCs w:val="20"/>
              </w:rPr>
              <w:t xml:space="preserve">      931,113,225 </w:t>
            </w:r>
          </w:p>
        </w:tc>
      </w:tr>
    </w:tbl>
    <w:p w14:paraId="275F3D70" w14:textId="0D5A1494" w:rsidR="00ED0F13" w:rsidRDefault="00ED0F13" w:rsidP="00ED0F13"/>
    <w:p w14:paraId="20D1BA9B" w14:textId="32427499" w:rsidR="00ED0F13" w:rsidRDefault="00ED0F13" w:rsidP="00ED0F13"/>
    <w:p w14:paraId="08D81107" w14:textId="649FFDA2" w:rsidR="00641B5E" w:rsidRDefault="009A3A3A" w:rsidP="00641B5E">
      <w:pPr>
        <w:pStyle w:val="Heading1"/>
        <w:rPr>
          <w:rFonts w:cs="Arial"/>
        </w:rPr>
      </w:pPr>
      <w:r>
        <w:rPr>
          <w:rFonts w:cs="Arial"/>
        </w:rPr>
        <w:lastRenderedPageBreak/>
        <w:t>I</w:t>
      </w:r>
      <w:r w:rsidR="00641B5E" w:rsidRPr="00641B5E">
        <w:rPr>
          <w:rFonts w:cs="Arial"/>
        </w:rPr>
        <w:t>nformation Technology Investments Captured in Apptio</w:t>
      </w:r>
    </w:p>
    <w:p w14:paraId="7D7855CB" w14:textId="77777777" w:rsidR="00641B5E" w:rsidRDefault="00641B5E" w:rsidP="00641B5E">
      <w:pPr>
        <w:rPr>
          <w:rFonts w:cs="Arial"/>
          <w:b/>
        </w:rPr>
      </w:pPr>
    </w:p>
    <w:p w14:paraId="6411EA78" w14:textId="37F64315" w:rsidR="00641B5E" w:rsidRPr="00641B5E" w:rsidRDefault="00641B5E" w:rsidP="00641B5E">
      <w:pPr>
        <w:rPr>
          <w:rFonts w:cs="Arial"/>
          <w:b/>
          <w:sz w:val="32"/>
          <w:szCs w:val="32"/>
        </w:rPr>
      </w:pPr>
      <w:r w:rsidRPr="00641B5E">
        <w:rPr>
          <w:rFonts w:cs="Arial"/>
          <w:b/>
        </w:rPr>
        <w:t>Technology Business Management (TBM) terms and data in Apptio</w:t>
      </w:r>
    </w:p>
    <w:p w14:paraId="3A151B01" w14:textId="1DF79F67" w:rsidR="00ED0F13" w:rsidRDefault="00641B5E" w:rsidP="00641B5E">
      <w:pPr>
        <w:spacing w:before="240"/>
        <w:rPr>
          <w:rFonts w:cs="Arial"/>
        </w:rPr>
      </w:pPr>
      <w:r w:rsidRPr="00641B5E">
        <w:rPr>
          <w:rFonts w:cs="Arial"/>
        </w:rPr>
        <w:t xml:space="preserve">Industry terms from the Technology Business Management (TBM) Council taxonomy are used for reporting on statewide technology investments. These standard reporting terms known as ‘Cost Pools’ and ‘IT Technology Towers with </w:t>
      </w:r>
      <w:r w:rsidR="004402CE">
        <w:rPr>
          <w:rFonts w:cs="Arial"/>
        </w:rPr>
        <w:t>S</w:t>
      </w:r>
      <w:r w:rsidR="004402CE" w:rsidRPr="00641B5E">
        <w:rPr>
          <w:rFonts w:cs="Arial"/>
        </w:rPr>
        <w:t>ub</w:t>
      </w:r>
      <w:r w:rsidRPr="00641B5E">
        <w:rPr>
          <w:rFonts w:cs="Arial"/>
        </w:rPr>
        <w:t>-</w:t>
      </w:r>
      <w:r w:rsidR="004402CE">
        <w:rPr>
          <w:rFonts w:cs="Arial"/>
        </w:rPr>
        <w:t>T</w:t>
      </w:r>
      <w:r w:rsidR="004402CE" w:rsidRPr="00641B5E">
        <w:rPr>
          <w:rFonts w:cs="Arial"/>
        </w:rPr>
        <w:t xml:space="preserve">owers’ </w:t>
      </w:r>
      <w:r w:rsidRPr="00641B5E">
        <w:rPr>
          <w:rFonts w:cs="Arial"/>
        </w:rPr>
        <w:t xml:space="preserve">are displayed </w:t>
      </w:r>
      <w:r w:rsidR="0030367F">
        <w:rPr>
          <w:rFonts w:cs="Arial"/>
        </w:rPr>
        <w:t xml:space="preserve">in the charts </w:t>
      </w:r>
      <w:r w:rsidR="00ED0F13">
        <w:rPr>
          <w:rFonts w:cs="Arial"/>
        </w:rPr>
        <w:t>below.</w:t>
      </w:r>
    </w:p>
    <w:p w14:paraId="39900A56" w14:textId="77777777" w:rsidR="001B5D23" w:rsidRPr="00641B5E" w:rsidRDefault="001B5D23" w:rsidP="001B5D23">
      <w:pPr>
        <w:rPr>
          <w:rFonts w:cs="Arial"/>
        </w:rPr>
      </w:pPr>
    </w:p>
    <w:p w14:paraId="6E454684" w14:textId="68AD9E57" w:rsidR="00641B5E" w:rsidRPr="00641B5E" w:rsidRDefault="00641B5E" w:rsidP="00641B5E">
      <w:pPr>
        <w:keepNext/>
        <w:ind w:left="1440"/>
        <w:rPr>
          <w:rFonts w:cs="Arial"/>
        </w:rPr>
      </w:pPr>
      <w:r w:rsidRPr="00641B5E">
        <w:rPr>
          <w:rFonts w:cs="Arial"/>
          <w:noProof/>
        </w:rPr>
        <w:drawing>
          <wp:inline distT="0" distB="0" distL="0" distR="0" wp14:anchorId="5298D03F" wp14:editId="24FEA713">
            <wp:extent cx="3990975" cy="2400300"/>
            <wp:effectExtent l="38100" t="0" r="66675" b="19050"/>
            <wp:docPr id="19" name="Diagram 19" descr="List of cost pools and IT technology tower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6247E13" w14:textId="77777777" w:rsidR="00641B5E" w:rsidRPr="00641B5E" w:rsidRDefault="00641B5E" w:rsidP="00641B5E"/>
    <w:p w14:paraId="43173862" w14:textId="7B73FF22" w:rsidR="00641B5E" w:rsidRPr="00641B5E" w:rsidRDefault="00641B5E" w:rsidP="00641B5E">
      <w:pPr>
        <w:keepNext/>
        <w:rPr>
          <w:rFonts w:cs="Arial"/>
        </w:rPr>
      </w:pPr>
      <w:r w:rsidRPr="00641B5E">
        <w:rPr>
          <w:rFonts w:cs="Arial"/>
          <w:noProof/>
        </w:rPr>
        <w:drawing>
          <wp:inline distT="0" distB="0" distL="0" distR="0" wp14:anchorId="4B79EF55" wp14:editId="63277302">
            <wp:extent cx="6238875" cy="2638425"/>
            <wp:effectExtent l="19050" t="19050" r="28575" b="28575"/>
            <wp:docPr id="18" name="Picture 18" descr="Image of TBM IT Technology Towers and Sub-t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of TBM IT Technology Towers and Sub-tower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38875" cy="2638425"/>
                    </a:xfrm>
                    <a:prstGeom prst="rect">
                      <a:avLst/>
                    </a:prstGeom>
                    <a:noFill/>
                    <a:ln w="9525" cmpd="sng">
                      <a:solidFill>
                        <a:srgbClr val="000000"/>
                      </a:solidFill>
                      <a:miter lim="800000"/>
                      <a:headEnd/>
                      <a:tailEnd/>
                    </a:ln>
                    <a:effectLst/>
                  </pic:spPr>
                </pic:pic>
              </a:graphicData>
            </a:graphic>
          </wp:inline>
        </w:drawing>
      </w:r>
    </w:p>
    <w:p w14:paraId="45AA1D3B" w14:textId="77777777" w:rsidR="0091558D" w:rsidRDefault="0091558D" w:rsidP="00641B5E">
      <w:pPr>
        <w:rPr>
          <w:rFonts w:cs="Arial"/>
        </w:rPr>
      </w:pPr>
    </w:p>
    <w:p w14:paraId="258E6C23" w14:textId="2F1D72E4" w:rsidR="00641B5E" w:rsidRPr="00641B5E" w:rsidRDefault="00641B5E" w:rsidP="00641B5E">
      <w:pPr>
        <w:rPr>
          <w:rFonts w:cs="Arial"/>
        </w:rPr>
      </w:pPr>
      <w:r w:rsidRPr="00641B5E">
        <w:rPr>
          <w:rFonts w:cs="Arial"/>
        </w:rPr>
        <w:t>A weekly data feed from the state enterprise Agency Financial Reporting System (AFRS) into the TBM Program software from Apptio provides information on state agencies</w:t>
      </w:r>
      <w:r w:rsidR="004402CE">
        <w:rPr>
          <w:rFonts w:cs="Arial"/>
        </w:rPr>
        <w:t>’</w:t>
      </w:r>
      <w:r w:rsidRPr="00641B5E">
        <w:rPr>
          <w:rFonts w:cs="Arial"/>
        </w:rPr>
        <w:t xml:space="preserve"> </w:t>
      </w:r>
      <w:r w:rsidR="00FB7D35">
        <w:rPr>
          <w:rFonts w:cs="Arial"/>
        </w:rPr>
        <w:t>IT</w:t>
      </w:r>
      <w:r w:rsidRPr="00641B5E">
        <w:rPr>
          <w:rFonts w:cs="Arial"/>
        </w:rPr>
        <w:t xml:space="preserve"> expenditures. </w:t>
      </w:r>
    </w:p>
    <w:p w14:paraId="42328C52" w14:textId="77777777" w:rsidR="00641B5E" w:rsidRPr="00641B5E" w:rsidRDefault="00641B5E" w:rsidP="00641B5E">
      <w:pPr>
        <w:rPr>
          <w:rFonts w:cs="Arial"/>
        </w:rPr>
      </w:pPr>
    </w:p>
    <w:p w14:paraId="63D73CE0" w14:textId="3FAAED76" w:rsidR="00641B5E" w:rsidRPr="00641B5E" w:rsidRDefault="00641B5E" w:rsidP="00641B5E">
      <w:pPr>
        <w:rPr>
          <w:rFonts w:cs="Arial"/>
        </w:rPr>
      </w:pPr>
      <w:r w:rsidRPr="00641B5E">
        <w:rPr>
          <w:rFonts w:cs="Arial"/>
        </w:rPr>
        <w:t xml:space="preserve">Using the AFRS data in Apptio, the Office of the Chief Information Officer (OCIO) can report </w:t>
      </w:r>
      <w:r w:rsidR="00104A6D">
        <w:rPr>
          <w:rFonts w:cs="Arial"/>
        </w:rPr>
        <w:t>FY21</w:t>
      </w:r>
      <w:r w:rsidRPr="00641B5E">
        <w:rPr>
          <w:rFonts w:cs="Arial"/>
        </w:rPr>
        <w:t xml:space="preserve"> IT expenditures by cost pools for 104 agencies and the IT Technology Tower expenditures for the 49 agencies in the TBM Program. </w:t>
      </w:r>
    </w:p>
    <w:p w14:paraId="53A86EA8" w14:textId="77777777" w:rsidR="00657788" w:rsidRDefault="00657788" w:rsidP="009613E9">
      <w:pPr>
        <w:rPr>
          <w:rFonts w:cs="Arial"/>
          <w:b/>
        </w:rPr>
      </w:pPr>
    </w:p>
    <w:p w14:paraId="38148026" w14:textId="77777777" w:rsidR="00657788" w:rsidRDefault="00657788" w:rsidP="009613E9">
      <w:pPr>
        <w:rPr>
          <w:rFonts w:cs="Arial"/>
          <w:b/>
        </w:rPr>
      </w:pPr>
    </w:p>
    <w:p w14:paraId="53474620" w14:textId="7FAA01D0" w:rsidR="00641B5E" w:rsidRPr="009613E9" w:rsidRDefault="00B14698" w:rsidP="009613E9">
      <w:pPr>
        <w:rPr>
          <w:rFonts w:cs="Arial"/>
          <w:b/>
        </w:rPr>
      </w:pPr>
      <w:r w:rsidRPr="009613E9">
        <w:rPr>
          <w:rFonts w:cs="Arial"/>
          <w:b/>
        </w:rPr>
        <w:lastRenderedPageBreak/>
        <w:t>IT</w:t>
      </w:r>
      <w:r w:rsidR="00641B5E" w:rsidRPr="009613E9">
        <w:rPr>
          <w:rFonts w:cs="Arial"/>
          <w:b/>
        </w:rPr>
        <w:t xml:space="preserve"> Expenditures by Cost Pool</w:t>
      </w:r>
    </w:p>
    <w:p w14:paraId="7E9FC2AD" w14:textId="6A2A39F1" w:rsidR="00641B5E" w:rsidRDefault="00641B5E" w:rsidP="00641B5E">
      <w:pPr>
        <w:keepNext/>
        <w:spacing w:before="240"/>
        <w:rPr>
          <w:rFonts w:cs="Arial"/>
        </w:rPr>
      </w:pPr>
      <w:r w:rsidRPr="00641B5E">
        <w:rPr>
          <w:rFonts w:cs="Arial"/>
        </w:rPr>
        <w:t>Cost Pool categories are aligned with the state general ledger accounts using the sub-object field in AFRS. (See the Cost Pool Mapping tab in the attached workbook for more detail.)</w:t>
      </w:r>
    </w:p>
    <w:p w14:paraId="70FDB9B9" w14:textId="77777777" w:rsidR="00641B5E" w:rsidRPr="00641B5E" w:rsidRDefault="00641B5E" w:rsidP="00641B5E">
      <w:pPr>
        <w:keepNext/>
        <w:rPr>
          <w:rFonts w:cs="Arial"/>
        </w:rPr>
      </w:pPr>
    </w:p>
    <w:p w14:paraId="126741A3" w14:textId="501F595F" w:rsidR="0091558D" w:rsidRDefault="00641B5E" w:rsidP="0091558D">
      <w:pPr>
        <w:rPr>
          <w:rFonts w:cs="Arial"/>
        </w:rPr>
      </w:pPr>
      <w:r w:rsidRPr="0091558D">
        <w:rPr>
          <w:rFonts w:cs="Arial"/>
        </w:rPr>
        <w:t>There were 104 agencies with reported tec</w:t>
      </w:r>
      <w:r w:rsidR="00ED0F13">
        <w:rPr>
          <w:rFonts w:cs="Arial"/>
        </w:rPr>
        <w:t xml:space="preserve">hnology investments in FY21. The chart below </w:t>
      </w:r>
      <w:r w:rsidRPr="0091558D">
        <w:rPr>
          <w:rFonts w:cs="Arial"/>
        </w:rPr>
        <w:t>includes a breakdown by Cost Pool. Except for internal labor, the remaining cost pools are associated with</w:t>
      </w:r>
      <w:r w:rsidR="0091558D" w:rsidRPr="0091558D">
        <w:rPr>
          <w:rFonts w:cs="Arial"/>
        </w:rPr>
        <w:t xml:space="preserve"> p</w:t>
      </w:r>
      <w:r w:rsidRPr="0091558D">
        <w:rPr>
          <w:rFonts w:cs="Arial"/>
        </w:rPr>
        <w:t xml:space="preserve">ayments to vendors, </w:t>
      </w:r>
      <w:proofErr w:type="gramStart"/>
      <w:r w:rsidRPr="0091558D">
        <w:rPr>
          <w:rFonts w:cs="Arial"/>
        </w:rPr>
        <w:t>contractors</w:t>
      </w:r>
      <w:proofErr w:type="gramEnd"/>
      <w:r w:rsidRPr="0091558D">
        <w:rPr>
          <w:rFonts w:cs="Arial"/>
        </w:rPr>
        <w:t xml:space="preserve"> and service providers.</w:t>
      </w:r>
    </w:p>
    <w:p w14:paraId="4E2D1330" w14:textId="77777777" w:rsidR="009613E9" w:rsidRDefault="009613E9" w:rsidP="0091558D">
      <w:pPr>
        <w:rPr>
          <w:rFonts w:cs="Arial"/>
        </w:rPr>
      </w:pPr>
    </w:p>
    <w:p w14:paraId="405BA006" w14:textId="5BEC46DC" w:rsidR="00641B5E" w:rsidRPr="00641B5E" w:rsidRDefault="00641B5E" w:rsidP="0091558D">
      <w:pPr>
        <w:rPr>
          <w:rFonts w:cs="Arial"/>
        </w:rPr>
      </w:pPr>
      <w:r w:rsidRPr="00641B5E">
        <w:rPr>
          <w:rFonts w:cs="Arial"/>
          <w:noProof/>
        </w:rPr>
        <w:drawing>
          <wp:inline distT="0" distB="0" distL="0" distR="0" wp14:anchorId="1FDF5FAE" wp14:editId="0D9CE52C">
            <wp:extent cx="5781675" cy="2924175"/>
            <wp:effectExtent l="0" t="0" r="9525" b="0"/>
            <wp:docPr id="17" name="Chart 17" descr="Chart of FY21 spend by Cost Pool">
              <a:extLst xmlns:a="http://schemas.openxmlformats.org/drawingml/2006/main">
                <a:ext uri="{FF2B5EF4-FFF2-40B4-BE49-F238E27FC236}">
                  <a16:creationId xmlns:a16="http://schemas.microsoft.com/office/drawing/2014/main" id="{CEFB52FF-5EC8-46C4-A9DB-95223BC1B6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ED3B11B" w14:textId="77777777" w:rsidR="0091558D" w:rsidRDefault="0091558D" w:rsidP="00641B5E">
      <w:pPr>
        <w:pStyle w:val="Caption"/>
        <w:rPr>
          <w:rFonts w:cs="Arial"/>
          <w:b/>
          <w:bCs/>
          <w:color w:val="auto"/>
        </w:rPr>
      </w:pPr>
    </w:p>
    <w:p w14:paraId="1616EE08" w14:textId="3ADBD6FE" w:rsidR="00641B5E" w:rsidRPr="0091558D" w:rsidRDefault="00641B5E" w:rsidP="00641B5E">
      <w:pPr>
        <w:pStyle w:val="Caption"/>
        <w:rPr>
          <w:rFonts w:cs="Arial"/>
          <w:bCs/>
          <w:i w:val="0"/>
          <w:color w:val="auto"/>
          <w:sz w:val="22"/>
        </w:rPr>
      </w:pPr>
      <w:r w:rsidRPr="0091558D">
        <w:rPr>
          <w:rFonts w:cs="Arial"/>
          <w:bCs/>
          <w:i w:val="0"/>
          <w:color w:val="auto"/>
          <w:sz w:val="22"/>
        </w:rPr>
        <w:t>Note: Internal Services are expenditures to central service agencies.</w:t>
      </w:r>
    </w:p>
    <w:p w14:paraId="08B6794F" w14:textId="5E22B4AD" w:rsidR="00641B5E" w:rsidRDefault="00641B5E" w:rsidP="009613E9">
      <w:pPr>
        <w:rPr>
          <w:rFonts w:cs="Arial"/>
          <w:b/>
        </w:rPr>
      </w:pPr>
      <w:r w:rsidRPr="009613E9">
        <w:rPr>
          <w:rFonts w:cs="Arial"/>
          <w:b/>
        </w:rPr>
        <w:t>IT Expenditures by IT Technology Towers</w:t>
      </w:r>
    </w:p>
    <w:p w14:paraId="747A3CBE" w14:textId="77777777" w:rsidR="009613E9" w:rsidRPr="009613E9" w:rsidRDefault="009613E9" w:rsidP="009613E9">
      <w:pPr>
        <w:rPr>
          <w:rFonts w:cs="Arial"/>
          <w:b/>
        </w:rPr>
      </w:pPr>
    </w:p>
    <w:p w14:paraId="4BEE2EFE" w14:textId="1EC65516" w:rsidR="00641B5E" w:rsidRDefault="00641B5E" w:rsidP="0091558D">
      <w:pPr>
        <w:rPr>
          <w:rFonts w:cs="Arial"/>
        </w:rPr>
      </w:pPr>
      <w:r w:rsidRPr="0091558D">
        <w:rPr>
          <w:rFonts w:cs="Arial"/>
        </w:rPr>
        <w:t xml:space="preserve">The 49 agencies in the state TBM Program are required to map their IT expenditures from Cost Pools to the IT Technology Towers. </w:t>
      </w:r>
      <w:r w:rsidR="00ED0F13">
        <w:rPr>
          <w:rFonts w:cs="Arial"/>
        </w:rPr>
        <w:t>The chart below</w:t>
      </w:r>
      <w:r w:rsidRPr="0091558D">
        <w:rPr>
          <w:rFonts w:cs="Arial"/>
        </w:rPr>
        <w:t xml:space="preserve"> shows the investment breakdown of 49 agencies by IT Technology Towers, including internal labor. </w:t>
      </w:r>
    </w:p>
    <w:p w14:paraId="07D8A268" w14:textId="77777777" w:rsidR="0091558D" w:rsidRPr="00641B5E" w:rsidRDefault="0091558D" w:rsidP="0091558D">
      <w:pPr>
        <w:rPr>
          <w:rFonts w:cs="Arial"/>
        </w:rPr>
      </w:pPr>
    </w:p>
    <w:p w14:paraId="6C81199D" w14:textId="57D03789" w:rsidR="00641B5E" w:rsidRPr="00641B5E" w:rsidRDefault="00641B5E" w:rsidP="00641B5E">
      <w:pPr>
        <w:keepNext/>
        <w:rPr>
          <w:rFonts w:cs="Arial"/>
        </w:rPr>
      </w:pPr>
      <w:r w:rsidRPr="00641B5E">
        <w:rPr>
          <w:rFonts w:cs="Arial"/>
          <w:noProof/>
        </w:rPr>
        <w:lastRenderedPageBreak/>
        <w:drawing>
          <wp:inline distT="0" distB="0" distL="0" distR="0" wp14:anchorId="57665AD8" wp14:editId="41E6EBD7">
            <wp:extent cx="5943600" cy="2676525"/>
            <wp:effectExtent l="0" t="0" r="0" b="9525"/>
            <wp:docPr id="16" name="Chart 16" descr="Chart showing FY21 spend by IT Technology Tower">
              <a:extLst xmlns:a="http://schemas.openxmlformats.org/drawingml/2006/main">
                <a:ext uri="{FF2B5EF4-FFF2-40B4-BE49-F238E27FC236}">
                  <a16:creationId xmlns:a16="http://schemas.microsoft.com/office/drawing/2014/main" id="{FBB9FD6C-7439-42BC-BC2D-F4BAC43D28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7896DE4" w14:textId="77777777" w:rsidR="00317C83" w:rsidRDefault="00317C83" w:rsidP="009613E9">
      <w:pPr>
        <w:rPr>
          <w:rFonts w:cs="Arial"/>
          <w:b/>
        </w:rPr>
      </w:pPr>
    </w:p>
    <w:p w14:paraId="0825E54B" w14:textId="51D14CE5" w:rsidR="00641B5E" w:rsidRPr="009613E9" w:rsidRDefault="00641B5E" w:rsidP="009613E9">
      <w:pPr>
        <w:rPr>
          <w:rFonts w:cs="Arial"/>
          <w:b/>
        </w:rPr>
      </w:pPr>
      <w:r w:rsidRPr="009613E9">
        <w:rPr>
          <w:rFonts w:cs="Arial"/>
          <w:b/>
        </w:rPr>
        <w:t>IT Expenditures by IT Technology Tower minus Internal Labor</w:t>
      </w:r>
    </w:p>
    <w:p w14:paraId="39723D38" w14:textId="3DFC6B06" w:rsidR="00641B5E" w:rsidRDefault="00641B5E" w:rsidP="00ED0F13">
      <w:pPr>
        <w:keepNext/>
        <w:spacing w:before="240"/>
        <w:rPr>
          <w:rFonts w:cs="Arial"/>
        </w:rPr>
      </w:pPr>
      <w:r w:rsidRPr="00641B5E">
        <w:rPr>
          <w:rFonts w:cs="Arial"/>
        </w:rPr>
        <w:t xml:space="preserve">With the internal labor removed, what remains is the direct expenditures the agencies made for hardware, software, outside services, external labor, </w:t>
      </w:r>
      <w:proofErr w:type="gramStart"/>
      <w:r w:rsidRPr="00641B5E">
        <w:rPr>
          <w:rFonts w:cs="Arial"/>
        </w:rPr>
        <w:t>facilities</w:t>
      </w:r>
      <w:proofErr w:type="gramEnd"/>
      <w:r w:rsidRPr="00641B5E">
        <w:rPr>
          <w:rFonts w:cs="Arial"/>
        </w:rPr>
        <w:t xml:space="preserve"> and power. These percentages should align with the contract information the agency reported in their annual report to </w:t>
      </w:r>
      <w:r w:rsidR="008A3066">
        <w:rPr>
          <w:rFonts w:cs="Arial"/>
        </w:rPr>
        <w:t>DES.</w:t>
      </w:r>
    </w:p>
    <w:p w14:paraId="661388E4" w14:textId="77777777" w:rsidR="00641B5E" w:rsidRPr="00641B5E" w:rsidRDefault="00641B5E" w:rsidP="00641B5E">
      <w:pPr>
        <w:keepNext/>
        <w:rPr>
          <w:rFonts w:cs="Arial"/>
        </w:rPr>
      </w:pPr>
    </w:p>
    <w:p w14:paraId="6EA35C2A" w14:textId="034CB74A" w:rsidR="00641B5E" w:rsidRPr="00641B5E" w:rsidRDefault="00641B5E" w:rsidP="00641B5E">
      <w:pPr>
        <w:keepNext/>
        <w:rPr>
          <w:rFonts w:cs="Arial"/>
        </w:rPr>
      </w:pPr>
      <w:r w:rsidRPr="00641B5E">
        <w:rPr>
          <w:rFonts w:cs="Arial"/>
          <w:noProof/>
        </w:rPr>
        <w:drawing>
          <wp:inline distT="0" distB="0" distL="0" distR="0" wp14:anchorId="0CB7F8FF" wp14:editId="7A7341C7">
            <wp:extent cx="5953125" cy="2733675"/>
            <wp:effectExtent l="0" t="0" r="9525" b="9525"/>
            <wp:docPr id="15" name="Chart 15" descr="Chart of FY21 spend by IT Technology Tower minus internal labor">
              <a:extLst xmlns:a="http://schemas.openxmlformats.org/drawingml/2006/main">
                <a:ext uri="{FF2B5EF4-FFF2-40B4-BE49-F238E27FC236}">
                  <a16:creationId xmlns:a16="http://schemas.microsoft.com/office/drawing/2014/main" id="{C5BAA5BB-F696-4B2E-A98C-DBEDA48F53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E804DC2" w14:textId="71513122" w:rsidR="00317C83" w:rsidRDefault="00317C83" w:rsidP="00317C83"/>
    <w:p w14:paraId="04D4D5BF" w14:textId="05C18ADC" w:rsidR="00063906" w:rsidRDefault="00317C83" w:rsidP="00063906">
      <w:pPr>
        <w:rPr>
          <w:rFonts w:cs="Arial"/>
        </w:rPr>
      </w:pPr>
      <w:r>
        <w:rPr>
          <w:rFonts w:cs="Arial"/>
        </w:rPr>
        <w:t xml:space="preserve">A comparison of the towers reported in the IT Contracts Report to the Apptio data received from </w:t>
      </w:r>
      <w:r w:rsidR="00F52A33">
        <w:rPr>
          <w:rFonts w:cs="Arial"/>
        </w:rPr>
        <w:t>CTS</w:t>
      </w:r>
      <w:r>
        <w:rPr>
          <w:rFonts w:cs="Arial"/>
        </w:rPr>
        <w:t xml:space="preserve"> was completed for FY20 and FY21. </w:t>
      </w:r>
      <w:r w:rsidRPr="003E58F8">
        <w:rPr>
          <w:rFonts w:cs="Arial"/>
        </w:rPr>
        <w:t>The</w:t>
      </w:r>
      <w:r w:rsidR="004C5BDB" w:rsidRPr="003E58F8">
        <w:rPr>
          <w:rFonts w:cs="Arial"/>
        </w:rPr>
        <w:t xml:space="preserve"> final </w:t>
      </w:r>
      <w:r w:rsidRPr="003E58F8">
        <w:rPr>
          <w:rFonts w:cs="Arial"/>
        </w:rPr>
        <w:t xml:space="preserve">comparison showed </w:t>
      </w:r>
      <w:r w:rsidR="006F496E" w:rsidRPr="003E58F8">
        <w:rPr>
          <w:rFonts w:cs="Arial"/>
        </w:rPr>
        <w:t>a total of $</w:t>
      </w:r>
      <w:r w:rsidR="004C5BDB" w:rsidRPr="003E58F8">
        <w:rPr>
          <w:rFonts w:cs="Arial"/>
        </w:rPr>
        <w:t xml:space="preserve">411 </w:t>
      </w:r>
      <w:r w:rsidRPr="003E58F8">
        <w:rPr>
          <w:rFonts w:cs="Arial"/>
        </w:rPr>
        <w:t xml:space="preserve">million </w:t>
      </w:r>
      <w:r w:rsidR="00D91220" w:rsidRPr="003E58F8">
        <w:rPr>
          <w:rFonts w:cs="Arial"/>
        </w:rPr>
        <w:t>difference</w:t>
      </w:r>
      <w:r w:rsidRPr="003E58F8">
        <w:rPr>
          <w:rFonts w:cs="Arial"/>
        </w:rPr>
        <w:t xml:space="preserve"> in </w:t>
      </w:r>
      <w:r w:rsidR="00D91220" w:rsidRPr="003E58F8">
        <w:rPr>
          <w:rFonts w:cs="Arial"/>
        </w:rPr>
        <w:t xml:space="preserve">what was reported </w:t>
      </w:r>
      <w:r w:rsidR="008A3066" w:rsidRPr="003E58F8">
        <w:rPr>
          <w:rFonts w:cs="Arial"/>
        </w:rPr>
        <w:t xml:space="preserve">in </w:t>
      </w:r>
      <w:r w:rsidRPr="003E58F8">
        <w:rPr>
          <w:rFonts w:cs="Arial"/>
        </w:rPr>
        <w:t xml:space="preserve">Apptio </w:t>
      </w:r>
      <w:r w:rsidR="00F52A33" w:rsidRPr="003E58F8">
        <w:rPr>
          <w:rFonts w:cs="Arial"/>
        </w:rPr>
        <w:t>verses</w:t>
      </w:r>
      <w:r w:rsidRPr="003E58F8">
        <w:rPr>
          <w:rFonts w:cs="Arial"/>
        </w:rPr>
        <w:t xml:space="preserve"> the IT Contracts Report</w:t>
      </w:r>
      <w:r w:rsidRPr="00C3029D">
        <w:rPr>
          <w:rFonts w:cs="Arial"/>
        </w:rPr>
        <w:t>.</w:t>
      </w:r>
      <w:r w:rsidR="00D91220">
        <w:rPr>
          <w:rFonts w:cs="Arial"/>
        </w:rPr>
        <w:t xml:space="preserve"> </w:t>
      </w:r>
      <w:r w:rsidR="00BA42DB">
        <w:rPr>
          <w:rFonts w:cs="Arial"/>
        </w:rPr>
        <w:t>The chart below shows the compari</w:t>
      </w:r>
      <w:r w:rsidR="00063906">
        <w:rPr>
          <w:rFonts w:cs="Arial"/>
        </w:rPr>
        <w:t>son of the towers for both fiscal years combined.</w:t>
      </w:r>
    </w:p>
    <w:p w14:paraId="167731BA" w14:textId="65D27862" w:rsidR="00063906" w:rsidRDefault="00063906" w:rsidP="00063906">
      <w:pPr>
        <w:rPr>
          <w:rFonts w:cs="Arial"/>
        </w:rPr>
      </w:pPr>
    </w:p>
    <w:p w14:paraId="56613DB0" w14:textId="44C35E36" w:rsidR="00E326F7" w:rsidRDefault="00E326F7" w:rsidP="00063906">
      <w:pPr>
        <w:rPr>
          <w:rFonts w:cs="Arial"/>
        </w:rPr>
      </w:pPr>
    </w:p>
    <w:p w14:paraId="364DC61D" w14:textId="6CF8C6A7" w:rsidR="00317C83" w:rsidRDefault="00317C83" w:rsidP="00063906">
      <w:pPr>
        <w:rPr>
          <w:rFonts w:cs="Arial"/>
        </w:rPr>
      </w:pPr>
    </w:p>
    <w:p w14:paraId="42779014" w14:textId="51B3E074" w:rsidR="00063906" w:rsidRDefault="00063906" w:rsidP="00063906">
      <w:pPr>
        <w:rPr>
          <w:rFonts w:cs="Arial"/>
        </w:rPr>
      </w:pPr>
    </w:p>
    <w:p w14:paraId="0A18344E" w14:textId="54FCA9CE" w:rsidR="00E326F7" w:rsidRDefault="00E326F7" w:rsidP="00063906">
      <w:pPr>
        <w:rPr>
          <w:rFonts w:cs="Arial"/>
        </w:rPr>
      </w:pPr>
      <w:r>
        <w:rPr>
          <w:noProof/>
        </w:rPr>
        <w:lastRenderedPageBreak/>
        <w:drawing>
          <wp:inline distT="0" distB="0" distL="0" distR="0" wp14:anchorId="7C0B2F0E" wp14:editId="5DB8B1E8">
            <wp:extent cx="5943600" cy="2812415"/>
            <wp:effectExtent l="0" t="0" r="0" b="6985"/>
            <wp:docPr id="28" name="Chart 28">
              <a:extLst xmlns:a="http://schemas.openxmlformats.org/drawingml/2006/main">
                <a:ext uri="{FF2B5EF4-FFF2-40B4-BE49-F238E27FC236}">
                  <a16:creationId xmlns:a16="http://schemas.microsoft.com/office/drawing/2014/main" id="{6B2F640B-A268-4DE6-B710-76FF1EE18F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AE4F3CD" w14:textId="77777777" w:rsidR="00E326F7" w:rsidRDefault="00E326F7" w:rsidP="00063906">
      <w:pPr>
        <w:rPr>
          <w:rFonts w:cs="Arial"/>
        </w:rPr>
      </w:pPr>
    </w:p>
    <w:p w14:paraId="7CB6AC03" w14:textId="2D7C1348" w:rsidR="00886799" w:rsidRDefault="00886799" w:rsidP="00063906">
      <w:pPr>
        <w:rPr>
          <w:rFonts w:cs="Arial"/>
        </w:rPr>
      </w:pPr>
      <w:r w:rsidRPr="003E58F8">
        <w:rPr>
          <w:rFonts w:cs="Arial"/>
        </w:rPr>
        <w:t>Of the $</w:t>
      </w:r>
      <w:r w:rsidR="004C5BDB" w:rsidRPr="003E58F8">
        <w:rPr>
          <w:rFonts w:cs="Arial"/>
        </w:rPr>
        <w:t xml:space="preserve">411 </w:t>
      </w:r>
      <w:r w:rsidRPr="003E58F8">
        <w:rPr>
          <w:rFonts w:cs="Arial"/>
        </w:rPr>
        <w:t xml:space="preserve">million, </w:t>
      </w:r>
      <w:r w:rsidR="004C5BDB" w:rsidRPr="003E58F8">
        <w:rPr>
          <w:rFonts w:cs="Arial"/>
        </w:rPr>
        <w:t xml:space="preserve">about </w:t>
      </w:r>
      <w:r w:rsidRPr="003E58F8">
        <w:rPr>
          <w:rFonts w:cs="Arial"/>
        </w:rPr>
        <w:t>$</w:t>
      </w:r>
      <w:r w:rsidR="004C5BDB" w:rsidRPr="003E58F8">
        <w:rPr>
          <w:rFonts w:cs="Arial"/>
        </w:rPr>
        <w:t xml:space="preserve">212 </w:t>
      </w:r>
      <w:r w:rsidRPr="003E58F8">
        <w:rPr>
          <w:rFonts w:cs="Arial"/>
        </w:rPr>
        <w:t xml:space="preserve">million </w:t>
      </w:r>
      <w:r w:rsidR="004C5E17" w:rsidRPr="003E58F8">
        <w:rPr>
          <w:rFonts w:cs="Arial"/>
        </w:rPr>
        <w:t>was in</w:t>
      </w:r>
      <w:r w:rsidRPr="003E58F8">
        <w:rPr>
          <w:rFonts w:cs="Arial"/>
        </w:rPr>
        <w:t xml:space="preserve"> FY20 and $19</w:t>
      </w:r>
      <w:r w:rsidR="004C5BDB" w:rsidRPr="003E58F8">
        <w:rPr>
          <w:rFonts w:cs="Arial"/>
        </w:rPr>
        <w:t>9</w:t>
      </w:r>
      <w:r w:rsidRPr="003E58F8">
        <w:rPr>
          <w:rFonts w:cs="Arial"/>
        </w:rPr>
        <w:t xml:space="preserve"> million </w:t>
      </w:r>
      <w:r w:rsidR="004C5E17" w:rsidRPr="003E58F8">
        <w:rPr>
          <w:rFonts w:cs="Arial"/>
        </w:rPr>
        <w:t>in</w:t>
      </w:r>
      <w:r w:rsidRPr="003E58F8">
        <w:rPr>
          <w:rFonts w:cs="Arial"/>
        </w:rPr>
        <w:t xml:space="preserve"> FY21. </w:t>
      </w:r>
      <w:r w:rsidR="00E326F7">
        <w:rPr>
          <w:rFonts w:cs="Arial"/>
        </w:rPr>
        <w:t xml:space="preserve">Agencies reported more in Apptio under every tower except the Delivery tower. Almost 50% in spend was reported in the IT Contracts Report under delivery than in Apptio.  </w:t>
      </w:r>
      <w:r w:rsidR="004C5E17">
        <w:rPr>
          <w:rFonts w:cs="Arial"/>
        </w:rPr>
        <w:t xml:space="preserve"> </w:t>
      </w:r>
    </w:p>
    <w:p w14:paraId="08B52C7B" w14:textId="75829521" w:rsidR="00063906" w:rsidRDefault="00063906" w:rsidP="00063906">
      <w:pPr>
        <w:rPr>
          <w:rFonts w:cs="Arial"/>
        </w:rPr>
      </w:pPr>
    </w:p>
    <w:p w14:paraId="45C6ADFB" w14:textId="77777777" w:rsidR="00357C91" w:rsidRDefault="00063906" w:rsidP="00063906">
      <w:pPr>
        <w:rPr>
          <w:rFonts w:cs="Arial"/>
        </w:rPr>
      </w:pPr>
      <w:r>
        <w:rPr>
          <w:rFonts w:cs="Arial"/>
        </w:rPr>
        <w:t>Note</w:t>
      </w:r>
      <w:r w:rsidR="00357C91">
        <w:rPr>
          <w:rFonts w:cs="Arial"/>
        </w:rPr>
        <w:t>s</w:t>
      </w:r>
      <w:r w:rsidR="0024494A">
        <w:rPr>
          <w:rFonts w:cs="Arial"/>
        </w:rPr>
        <w:t xml:space="preserve">: </w:t>
      </w:r>
    </w:p>
    <w:p w14:paraId="7C16DF87" w14:textId="77777777" w:rsidR="00357C91" w:rsidRDefault="00357C91" w:rsidP="00063906">
      <w:pPr>
        <w:rPr>
          <w:rFonts w:cs="Arial"/>
        </w:rPr>
      </w:pPr>
    </w:p>
    <w:p w14:paraId="2DA004E1" w14:textId="47149A1E" w:rsidR="00063906" w:rsidRDefault="00063906" w:rsidP="00F52A33">
      <w:pPr>
        <w:pStyle w:val="ListParagraph"/>
        <w:numPr>
          <w:ilvl w:val="0"/>
          <w:numId w:val="49"/>
        </w:numPr>
      </w:pPr>
      <w:r w:rsidRPr="00357C91">
        <w:t>The IT Contract Report includes an Other/Non-IT tower</w:t>
      </w:r>
      <w:r w:rsidR="00A42F43" w:rsidRPr="00357C91">
        <w:t xml:space="preserve"> that is not included in Apptio data</w:t>
      </w:r>
      <w:r w:rsidRPr="00357C91">
        <w:t>. For the purposes of this compari</w:t>
      </w:r>
      <w:r w:rsidR="00A42F43" w:rsidRPr="00357C91">
        <w:t xml:space="preserve">son, the </w:t>
      </w:r>
      <w:r w:rsidR="009E4481">
        <w:t>contract amounts</w:t>
      </w:r>
      <w:r w:rsidR="00A42F43" w:rsidRPr="00357C91">
        <w:t xml:space="preserve"> reported under this tower </w:t>
      </w:r>
      <w:r w:rsidR="009E4481">
        <w:t>were</w:t>
      </w:r>
      <w:r w:rsidR="00A42F43" w:rsidRPr="00357C91">
        <w:t xml:space="preserve"> removed from the data.</w:t>
      </w:r>
    </w:p>
    <w:p w14:paraId="6CC69A51" w14:textId="312C30D3" w:rsidR="004C5E17" w:rsidRPr="00F52A33" w:rsidRDefault="004C5E17" w:rsidP="00F52A33">
      <w:pPr>
        <w:pStyle w:val="ListParagraph"/>
        <w:numPr>
          <w:ilvl w:val="0"/>
          <w:numId w:val="49"/>
        </w:numPr>
        <w:rPr>
          <w:rFonts w:cs="Arial"/>
        </w:rPr>
      </w:pPr>
      <w:r w:rsidRPr="00F52A33">
        <w:rPr>
          <w:rFonts w:cs="Arial"/>
        </w:rPr>
        <w:t>The Apptio data used in this analysis excluded Internal Labor.</w:t>
      </w:r>
    </w:p>
    <w:p w14:paraId="68F535CE" w14:textId="77777777" w:rsidR="00D56CC2" w:rsidRPr="000F697B" w:rsidRDefault="00D56CC2" w:rsidP="00FB3F54">
      <w:pPr>
        <w:rPr>
          <w:rFonts w:cs="Arial"/>
          <w:szCs w:val="22"/>
        </w:rPr>
      </w:pPr>
    </w:p>
    <w:sectPr w:rsidR="00D56CC2" w:rsidRPr="000F697B" w:rsidSect="00F43A7B">
      <w:headerReference w:type="default" r:id="rId29"/>
      <w:footerReference w:type="default" r:id="rId30"/>
      <w:pgSz w:w="12240" w:h="15840"/>
      <w:pgMar w:top="1440" w:right="1440" w:bottom="1152" w:left="1440" w:header="753" w:footer="766" w:gutter="0"/>
      <w:cols w:space="720" w:equalWidth="0">
        <w:col w:w="94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B1D2" w14:textId="77777777" w:rsidR="00FF2490" w:rsidRDefault="00FF2490" w:rsidP="004B1DF0">
      <w:r>
        <w:separator/>
      </w:r>
    </w:p>
  </w:endnote>
  <w:endnote w:type="continuationSeparator" w:id="0">
    <w:p w14:paraId="5842E3E3" w14:textId="77777777" w:rsidR="00FF2490" w:rsidRDefault="00FF2490" w:rsidP="004B1DF0">
      <w:r>
        <w:continuationSeparator/>
      </w:r>
    </w:p>
  </w:endnote>
  <w:endnote w:type="continuationNotice" w:id="1">
    <w:p w14:paraId="7CB5516B" w14:textId="77777777" w:rsidR="00FF2490" w:rsidRDefault="00FF2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52230"/>
      <w:docPartObj>
        <w:docPartGallery w:val="Page Numbers (Bottom of Page)"/>
        <w:docPartUnique/>
      </w:docPartObj>
    </w:sdtPr>
    <w:sdtEndPr>
      <w:rPr>
        <w:noProof/>
      </w:rPr>
    </w:sdtEndPr>
    <w:sdtContent>
      <w:p w14:paraId="726A43CF" w14:textId="74228F06" w:rsidR="00C3029D" w:rsidRDefault="00C3029D">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0E5E3AF8" w14:textId="40009BEA" w:rsidR="00C3029D" w:rsidRDefault="00C3029D" w:rsidP="007953B3">
    <w:pPr>
      <w:pStyle w:val="BodyTex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31DF" w14:textId="77777777" w:rsidR="00FF2490" w:rsidRDefault="00FF2490" w:rsidP="004B1DF0">
      <w:r>
        <w:separator/>
      </w:r>
    </w:p>
  </w:footnote>
  <w:footnote w:type="continuationSeparator" w:id="0">
    <w:p w14:paraId="087A6164" w14:textId="77777777" w:rsidR="00FF2490" w:rsidRDefault="00FF2490" w:rsidP="004B1DF0">
      <w:r>
        <w:continuationSeparator/>
      </w:r>
    </w:p>
  </w:footnote>
  <w:footnote w:type="continuationNotice" w:id="1">
    <w:p w14:paraId="7303D431" w14:textId="77777777" w:rsidR="00FF2490" w:rsidRDefault="00FF24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8A37" w14:textId="77777777" w:rsidR="00C3029D" w:rsidRPr="003A0AE5" w:rsidRDefault="00C3029D" w:rsidP="00F43A7B">
    <w:pPr>
      <w:pStyle w:val="Header"/>
      <w:jc w:val="center"/>
      <w:rPr>
        <w:rFonts w:cs="Arial"/>
        <w:b/>
      </w:rPr>
    </w:pPr>
    <w:r w:rsidRPr="003A0AE5">
      <w:rPr>
        <w:rFonts w:cs="Arial"/>
        <w:b/>
      </w:rPr>
      <w:t>Information Technology Contracts Report</w:t>
    </w:r>
  </w:p>
  <w:p w14:paraId="2F9F4BA7" w14:textId="0DB1A79B" w:rsidR="00C3029D" w:rsidRPr="003A0AE5" w:rsidRDefault="00C3029D" w:rsidP="00F43A7B">
    <w:pPr>
      <w:pStyle w:val="Header"/>
      <w:jc w:val="center"/>
      <w:rPr>
        <w:rFonts w:cs="Arial"/>
        <w:i/>
      </w:rPr>
    </w:pPr>
    <w:r>
      <w:rPr>
        <w:rFonts w:cs="Arial"/>
        <w:i/>
      </w:rPr>
      <w:t xml:space="preserve">December </w:t>
    </w:r>
    <w:r w:rsidRPr="003A0AE5">
      <w:rPr>
        <w:rFonts w:cs="Arial"/>
        <w:i/>
      </w:rPr>
      <w:t>202</w:t>
    </w:r>
    <w:r>
      <w:rPr>
        <w:rFonts w:cs="Arial"/>
        <w:i/>
      </w:rPr>
      <w:t>1</w:t>
    </w:r>
  </w:p>
  <w:p w14:paraId="0D26202F" w14:textId="77777777" w:rsidR="00C3029D" w:rsidRDefault="00C3029D" w:rsidP="00F43A7B">
    <w:pPr>
      <w:pStyle w:val="Header"/>
    </w:pPr>
  </w:p>
  <w:p w14:paraId="0AAD6EBD" w14:textId="77777777" w:rsidR="00C3029D" w:rsidRPr="00F43A7B" w:rsidRDefault="00C3029D" w:rsidP="00F43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sz w:val="24"/>
        <w:szCs w:val="24"/>
      </w:rPr>
    </w:lvl>
    <w:lvl w:ilvl="1">
      <w:numFmt w:val="bullet"/>
      <w:lvlText w:val="•"/>
      <w:lvlJc w:val="left"/>
      <w:pPr>
        <w:ind w:left="1688" w:hanging="360"/>
      </w:pPr>
    </w:lvl>
    <w:lvl w:ilvl="2">
      <w:numFmt w:val="bullet"/>
      <w:lvlText w:val="•"/>
      <w:lvlJc w:val="left"/>
      <w:pPr>
        <w:ind w:left="2556" w:hanging="360"/>
      </w:pPr>
    </w:lvl>
    <w:lvl w:ilvl="3">
      <w:numFmt w:val="bullet"/>
      <w:lvlText w:val="•"/>
      <w:lvlJc w:val="left"/>
      <w:pPr>
        <w:ind w:left="3424" w:hanging="360"/>
      </w:pPr>
    </w:lvl>
    <w:lvl w:ilvl="4">
      <w:numFmt w:val="bullet"/>
      <w:lvlText w:val="•"/>
      <w:lvlJc w:val="left"/>
      <w:pPr>
        <w:ind w:left="4292" w:hanging="360"/>
      </w:pPr>
    </w:lvl>
    <w:lvl w:ilvl="5">
      <w:numFmt w:val="bullet"/>
      <w:lvlText w:val="•"/>
      <w:lvlJc w:val="left"/>
      <w:pPr>
        <w:ind w:left="5160" w:hanging="360"/>
      </w:pPr>
    </w:lvl>
    <w:lvl w:ilvl="6">
      <w:numFmt w:val="bullet"/>
      <w:lvlText w:val="•"/>
      <w:lvlJc w:val="left"/>
      <w:pPr>
        <w:ind w:left="6028" w:hanging="360"/>
      </w:pPr>
    </w:lvl>
    <w:lvl w:ilvl="7">
      <w:numFmt w:val="bullet"/>
      <w:lvlText w:val="•"/>
      <w:lvlJc w:val="left"/>
      <w:pPr>
        <w:ind w:left="6896" w:hanging="360"/>
      </w:pPr>
    </w:lvl>
    <w:lvl w:ilvl="8">
      <w:numFmt w:val="bullet"/>
      <w:lvlText w:val="•"/>
      <w:lvlJc w:val="left"/>
      <w:pPr>
        <w:ind w:left="7764" w:hanging="360"/>
      </w:pPr>
    </w:lvl>
  </w:abstractNum>
  <w:abstractNum w:abstractNumId="1" w15:restartNumberingAfterBreak="0">
    <w:nsid w:val="00000403"/>
    <w:multiLevelType w:val="multilevel"/>
    <w:tmpl w:val="00000886"/>
    <w:lvl w:ilvl="0">
      <w:numFmt w:val="bullet"/>
      <w:lvlText w:val=""/>
      <w:lvlJc w:val="left"/>
      <w:pPr>
        <w:ind w:left="460" w:hanging="360"/>
      </w:pPr>
      <w:rPr>
        <w:rFonts w:ascii="Symbol" w:hAnsi="Symbol" w:cs="Symbol"/>
        <w:b w:val="0"/>
        <w:bCs w:val="0"/>
        <w:sz w:val="24"/>
        <w:szCs w:val="24"/>
      </w:rPr>
    </w:lvl>
    <w:lvl w:ilvl="1">
      <w:numFmt w:val="bullet"/>
      <w:lvlText w:val=""/>
      <w:lvlJc w:val="left"/>
      <w:pPr>
        <w:ind w:left="820" w:hanging="360"/>
      </w:pPr>
      <w:rPr>
        <w:rFonts w:ascii="Symbol" w:hAnsi="Symbol" w:cs="Symbol"/>
        <w:b w:val="0"/>
        <w:bCs w:val="0"/>
        <w:sz w:val="24"/>
        <w:szCs w:val="24"/>
      </w:rPr>
    </w:lvl>
    <w:lvl w:ilvl="2">
      <w:numFmt w:val="bullet"/>
      <w:lvlText w:val="•"/>
      <w:lvlJc w:val="left"/>
      <w:pPr>
        <w:ind w:left="1749" w:hanging="360"/>
      </w:pPr>
    </w:lvl>
    <w:lvl w:ilvl="3">
      <w:numFmt w:val="bullet"/>
      <w:lvlText w:val="•"/>
      <w:lvlJc w:val="left"/>
      <w:pPr>
        <w:ind w:left="2678" w:hanging="360"/>
      </w:pPr>
    </w:lvl>
    <w:lvl w:ilvl="4">
      <w:numFmt w:val="bullet"/>
      <w:lvlText w:val="•"/>
      <w:lvlJc w:val="left"/>
      <w:pPr>
        <w:ind w:left="3606" w:hanging="360"/>
      </w:pPr>
    </w:lvl>
    <w:lvl w:ilvl="5">
      <w:numFmt w:val="bullet"/>
      <w:lvlText w:val="•"/>
      <w:lvlJc w:val="left"/>
      <w:pPr>
        <w:ind w:left="4535" w:hanging="360"/>
      </w:pPr>
    </w:lvl>
    <w:lvl w:ilvl="6">
      <w:numFmt w:val="bullet"/>
      <w:lvlText w:val="•"/>
      <w:lvlJc w:val="left"/>
      <w:pPr>
        <w:ind w:left="5464" w:hanging="360"/>
      </w:pPr>
    </w:lvl>
    <w:lvl w:ilvl="7">
      <w:numFmt w:val="bullet"/>
      <w:lvlText w:val="•"/>
      <w:lvlJc w:val="left"/>
      <w:pPr>
        <w:ind w:left="6393" w:hanging="360"/>
      </w:pPr>
    </w:lvl>
    <w:lvl w:ilvl="8">
      <w:numFmt w:val="bullet"/>
      <w:lvlText w:val="•"/>
      <w:lvlJc w:val="left"/>
      <w:pPr>
        <w:ind w:left="7322" w:hanging="360"/>
      </w:pPr>
    </w:lvl>
  </w:abstractNum>
  <w:abstractNum w:abstractNumId="2" w15:restartNumberingAfterBreak="0">
    <w:nsid w:val="00000404"/>
    <w:multiLevelType w:val="multilevel"/>
    <w:tmpl w:val="00000887"/>
    <w:lvl w:ilvl="0">
      <w:numFmt w:val="bullet"/>
      <w:lvlText w:val="-"/>
      <w:lvlJc w:val="left"/>
      <w:pPr>
        <w:ind w:left="820" w:hanging="360"/>
      </w:pPr>
      <w:rPr>
        <w:rFonts w:ascii="Times New Roman" w:hAnsi="Times New Roman" w:cs="Times New Roman"/>
        <w:b w:val="0"/>
        <w:bCs w:val="0"/>
        <w:sz w:val="24"/>
        <w:szCs w:val="24"/>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3" w15:restartNumberingAfterBreak="0">
    <w:nsid w:val="00000405"/>
    <w:multiLevelType w:val="multilevel"/>
    <w:tmpl w:val="E1D401F0"/>
    <w:lvl w:ilvl="0">
      <w:start w:val="1"/>
      <w:numFmt w:val="bullet"/>
      <w:lvlText w:val=""/>
      <w:lvlJc w:val="left"/>
      <w:pPr>
        <w:ind w:left="820" w:hanging="360"/>
      </w:pPr>
      <w:rPr>
        <w:rFonts w:ascii="Symbol" w:hAnsi="Symbol" w:hint="default"/>
        <w:b w:val="0"/>
        <w:bCs w:val="0"/>
        <w:sz w:val="24"/>
        <w:szCs w:val="24"/>
      </w:rPr>
    </w:lvl>
    <w:lvl w:ilvl="1">
      <w:numFmt w:val="bullet"/>
      <w:lvlText w:val="•"/>
      <w:lvlJc w:val="left"/>
      <w:pPr>
        <w:ind w:left="1690" w:hanging="360"/>
      </w:pPr>
    </w:lvl>
    <w:lvl w:ilvl="2">
      <w:numFmt w:val="bullet"/>
      <w:lvlText w:val="•"/>
      <w:lvlJc w:val="left"/>
      <w:pPr>
        <w:ind w:left="2560" w:hanging="360"/>
      </w:pPr>
    </w:lvl>
    <w:lvl w:ilvl="3">
      <w:numFmt w:val="bullet"/>
      <w:lvlText w:val="•"/>
      <w:lvlJc w:val="left"/>
      <w:pPr>
        <w:ind w:left="3430" w:hanging="360"/>
      </w:pPr>
    </w:lvl>
    <w:lvl w:ilvl="4">
      <w:numFmt w:val="bullet"/>
      <w:lvlText w:val="•"/>
      <w:lvlJc w:val="left"/>
      <w:pPr>
        <w:ind w:left="4300" w:hanging="360"/>
      </w:pPr>
    </w:lvl>
    <w:lvl w:ilvl="5">
      <w:numFmt w:val="bullet"/>
      <w:lvlText w:val="•"/>
      <w:lvlJc w:val="left"/>
      <w:pPr>
        <w:ind w:left="5170" w:hanging="360"/>
      </w:pPr>
    </w:lvl>
    <w:lvl w:ilvl="6">
      <w:numFmt w:val="bullet"/>
      <w:lvlText w:val="•"/>
      <w:lvlJc w:val="left"/>
      <w:pPr>
        <w:ind w:left="6040" w:hanging="360"/>
      </w:pPr>
    </w:lvl>
    <w:lvl w:ilvl="7">
      <w:numFmt w:val="bullet"/>
      <w:lvlText w:val="•"/>
      <w:lvlJc w:val="left"/>
      <w:pPr>
        <w:ind w:left="6910" w:hanging="360"/>
      </w:pPr>
    </w:lvl>
    <w:lvl w:ilvl="8">
      <w:numFmt w:val="bullet"/>
      <w:lvlText w:val="•"/>
      <w:lvlJc w:val="left"/>
      <w:pPr>
        <w:ind w:left="7780" w:hanging="360"/>
      </w:pPr>
    </w:lvl>
  </w:abstractNum>
  <w:abstractNum w:abstractNumId="4" w15:restartNumberingAfterBreak="0">
    <w:nsid w:val="00000406"/>
    <w:multiLevelType w:val="multilevel"/>
    <w:tmpl w:val="00000889"/>
    <w:lvl w:ilvl="0">
      <w:numFmt w:val="bullet"/>
      <w:lvlText w:val="-"/>
      <w:lvlJc w:val="left"/>
      <w:pPr>
        <w:ind w:left="1180" w:hanging="360"/>
      </w:pPr>
      <w:rPr>
        <w:rFonts w:ascii="Times New Roman" w:hAnsi="Times New Roman" w:cs="Times New Roman"/>
        <w:b w:val="0"/>
        <w:bCs w:val="0"/>
        <w:sz w:val="24"/>
        <w:szCs w:val="24"/>
      </w:rPr>
    </w:lvl>
    <w:lvl w:ilvl="1">
      <w:numFmt w:val="bullet"/>
      <w:lvlText w:val="•"/>
      <w:lvlJc w:val="left"/>
      <w:pPr>
        <w:ind w:left="2018" w:hanging="360"/>
      </w:pPr>
    </w:lvl>
    <w:lvl w:ilvl="2">
      <w:numFmt w:val="bullet"/>
      <w:lvlText w:val="•"/>
      <w:lvlJc w:val="left"/>
      <w:pPr>
        <w:ind w:left="2856" w:hanging="360"/>
      </w:pPr>
    </w:lvl>
    <w:lvl w:ilvl="3">
      <w:numFmt w:val="bullet"/>
      <w:lvlText w:val="•"/>
      <w:lvlJc w:val="left"/>
      <w:pPr>
        <w:ind w:left="3694" w:hanging="360"/>
      </w:pPr>
    </w:lvl>
    <w:lvl w:ilvl="4">
      <w:numFmt w:val="bullet"/>
      <w:lvlText w:val="•"/>
      <w:lvlJc w:val="left"/>
      <w:pPr>
        <w:ind w:left="4532" w:hanging="360"/>
      </w:pPr>
    </w:lvl>
    <w:lvl w:ilvl="5">
      <w:numFmt w:val="bullet"/>
      <w:lvlText w:val="•"/>
      <w:lvlJc w:val="left"/>
      <w:pPr>
        <w:ind w:left="5370" w:hanging="360"/>
      </w:pPr>
    </w:lvl>
    <w:lvl w:ilvl="6">
      <w:numFmt w:val="bullet"/>
      <w:lvlText w:val="•"/>
      <w:lvlJc w:val="left"/>
      <w:pPr>
        <w:ind w:left="6208" w:hanging="360"/>
      </w:pPr>
    </w:lvl>
    <w:lvl w:ilvl="7">
      <w:numFmt w:val="bullet"/>
      <w:lvlText w:val="•"/>
      <w:lvlJc w:val="left"/>
      <w:pPr>
        <w:ind w:left="7046" w:hanging="360"/>
      </w:pPr>
    </w:lvl>
    <w:lvl w:ilvl="8">
      <w:numFmt w:val="bullet"/>
      <w:lvlText w:val="•"/>
      <w:lvlJc w:val="left"/>
      <w:pPr>
        <w:ind w:left="7884" w:hanging="360"/>
      </w:pPr>
    </w:lvl>
  </w:abstractNum>
  <w:abstractNum w:abstractNumId="5" w15:restartNumberingAfterBreak="0">
    <w:nsid w:val="00000407"/>
    <w:multiLevelType w:val="multilevel"/>
    <w:tmpl w:val="0000088A"/>
    <w:lvl w:ilvl="0">
      <w:numFmt w:val="bullet"/>
      <w:lvlText w:val="-"/>
      <w:lvlJc w:val="left"/>
      <w:pPr>
        <w:ind w:left="1180" w:hanging="360"/>
      </w:pPr>
      <w:rPr>
        <w:rFonts w:ascii="Times New Roman" w:hAnsi="Times New Roman" w:cs="Times New Roman"/>
        <w:b w:val="0"/>
        <w:bCs w:val="0"/>
        <w:sz w:val="24"/>
        <w:szCs w:val="24"/>
      </w:rPr>
    </w:lvl>
    <w:lvl w:ilvl="1">
      <w:numFmt w:val="bullet"/>
      <w:lvlText w:val="•"/>
      <w:lvlJc w:val="left"/>
      <w:pPr>
        <w:ind w:left="2018" w:hanging="360"/>
      </w:pPr>
    </w:lvl>
    <w:lvl w:ilvl="2">
      <w:numFmt w:val="bullet"/>
      <w:lvlText w:val="•"/>
      <w:lvlJc w:val="left"/>
      <w:pPr>
        <w:ind w:left="2856" w:hanging="360"/>
      </w:pPr>
    </w:lvl>
    <w:lvl w:ilvl="3">
      <w:numFmt w:val="bullet"/>
      <w:lvlText w:val="•"/>
      <w:lvlJc w:val="left"/>
      <w:pPr>
        <w:ind w:left="3694" w:hanging="360"/>
      </w:pPr>
    </w:lvl>
    <w:lvl w:ilvl="4">
      <w:numFmt w:val="bullet"/>
      <w:lvlText w:val="•"/>
      <w:lvlJc w:val="left"/>
      <w:pPr>
        <w:ind w:left="4532" w:hanging="360"/>
      </w:pPr>
    </w:lvl>
    <w:lvl w:ilvl="5">
      <w:numFmt w:val="bullet"/>
      <w:lvlText w:val="•"/>
      <w:lvlJc w:val="left"/>
      <w:pPr>
        <w:ind w:left="5370" w:hanging="360"/>
      </w:pPr>
    </w:lvl>
    <w:lvl w:ilvl="6">
      <w:numFmt w:val="bullet"/>
      <w:lvlText w:val="•"/>
      <w:lvlJc w:val="left"/>
      <w:pPr>
        <w:ind w:left="6208" w:hanging="360"/>
      </w:pPr>
    </w:lvl>
    <w:lvl w:ilvl="7">
      <w:numFmt w:val="bullet"/>
      <w:lvlText w:val="•"/>
      <w:lvlJc w:val="left"/>
      <w:pPr>
        <w:ind w:left="7046" w:hanging="360"/>
      </w:pPr>
    </w:lvl>
    <w:lvl w:ilvl="8">
      <w:numFmt w:val="bullet"/>
      <w:lvlText w:val="•"/>
      <w:lvlJc w:val="left"/>
      <w:pPr>
        <w:ind w:left="7884" w:hanging="360"/>
      </w:pPr>
    </w:lvl>
  </w:abstractNum>
  <w:abstractNum w:abstractNumId="6" w15:restartNumberingAfterBreak="0">
    <w:nsid w:val="00F3100C"/>
    <w:multiLevelType w:val="multilevel"/>
    <w:tmpl w:val="E1D401F0"/>
    <w:lvl w:ilvl="0">
      <w:start w:val="1"/>
      <w:numFmt w:val="bullet"/>
      <w:lvlText w:val=""/>
      <w:lvlJc w:val="left"/>
      <w:pPr>
        <w:ind w:left="820" w:hanging="360"/>
      </w:pPr>
      <w:rPr>
        <w:rFonts w:ascii="Symbol" w:hAnsi="Symbol" w:hint="default"/>
        <w:b w:val="0"/>
        <w:bCs w:val="0"/>
        <w:sz w:val="24"/>
        <w:szCs w:val="24"/>
      </w:rPr>
    </w:lvl>
    <w:lvl w:ilvl="1">
      <w:numFmt w:val="bullet"/>
      <w:lvlText w:val="•"/>
      <w:lvlJc w:val="left"/>
      <w:pPr>
        <w:ind w:left="1690" w:hanging="360"/>
      </w:pPr>
    </w:lvl>
    <w:lvl w:ilvl="2">
      <w:numFmt w:val="bullet"/>
      <w:lvlText w:val="•"/>
      <w:lvlJc w:val="left"/>
      <w:pPr>
        <w:ind w:left="2560" w:hanging="360"/>
      </w:pPr>
    </w:lvl>
    <w:lvl w:ilvl="3">
      <w:numFmt w:val="bullet"/>
      <w:lvlText w:val="•"/>
      <w:lvlJc w:val="left"/>
      <w:pPr>
        <w:ind w:left="3430" w:hanging="360"/>
      </w:pPr>
    </w:lvl>
    <w:lvl w:ilvl="4">
      <w:numFmt w:val="bullet"/>
      <w:lvlText w:val="•"/>
      <w:lvlJc w:val="left"/>
      <w:pPr>
        <w:ind w:left="4300" w:hanging="360"/>
      </w:pPr>
    </w:lvl>
    <w:lvl w:ilvl="5">
      <w:numFmt w:val="bullet"/>
      <w:lvlText w:val="•"/>
      <w:lvlJc w:val="left"/>
      <w:pPr>
        <w:ind w:left="5170" w:hanging="360"/>
      </w:pPr>
    </w:lvl>
    <w:lvl w:ilvl="6">
      <w:numFmt w:val="bullet"/>
      <w:lvlText w:val="•"/>
      <w:lvlJc w:val="left"/>
      <w:pPr>
        <w:ind w:left="6040" w:hanging="360"/>
      </w:pPr>
    </w:lvl>
    <w:lvl w:ilvl="7">
      <w:numFmt w:val="bullet"/>
      <w:lvlText w:val="•"/>
      <w:lvlJc w:val="left"/>
      <w:pPr>
        <w:ind w:left="6910" w:hanging="360"/>
      </w:pPr>
    </w:lvl>
    <w:lvl w:ilvl="8">
      <w:numFmt w:val="bullet"/>
      <w:lvlText w:val="•"/>
      <w:lvlJc w:val="left"/>
      <w:pPr>
        <w:ind w:left="7780" w:hanging="360"/>
      </w:pPr>
    </w:lvl>
  </w:abstractNum>
  <w:abstractNum w:abstractNumId="7" w15:restartNumberingAfterBreak="0">
    <w:nsid w:val="01B647A3"/>
    <w:multiLevelType w:val="hybridMultilevel"/>
    <w:tmpl w:val="D40C8E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1A64EA6"/>
    <w:multiLevelType w:val="hybridMultilevel"/>
    <w:tmpl w:val="D57CA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62945"/>
    <w:multiLevelType w:val="hybridMultilevel"/>
    <w:tmpl w:val="C7AA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E2188"/>
    <w:multiLevelType w:val="multilevel"/>
    <w:tmpl w:val="00000888"/>
    <w:lvl w:ilvl="0">
      <w:numFmt w:val="bullet"/>
      <w:lvlText w:val="-"/>
      <w:lvlJc w:val="left"/>
      <w:pPr>
        <w:ind w:left="820" w:hanging="360"/>
      </w:pPr>
      <w:rPr>
        <w:rFonts w:ascii="Times New Roman" w:hAnsi="Times New Roman" w:cs="Times New Roman"/>
        <w:b w:val="0"/>
        <w:bCs w:val="0"/>
        <w:sz w:val="24"/>
        <w:szCs w:val="24"/>
      </w:rPr>
    </w:lvl>
    <w:lvl w:ilvl="1">
      <w:numFmt w:val="bullet"/>
      <w:lvlText w:val="•"/>
      <w:lvlJc w:val="left"/>
      <w:pPr>
        <w:ind w:left="1690" w:hanging="360"/>
      </w:pPr>
    </w:lvl>
    <w:lvl w:ilvl="2">
      <w:numFmt w:val="bullet"/>
      <w:lvlText w:val="•"/>
      <w:lvlJc w:val="left"/>
      <w:pPr>
        <w:ind w:left="2560" w:hanging="360"/>
      </w:pPr>
    </w:lvl>
    <w:lvl w:ilvl="3">
      <w:numFmt w:val="bullet"/>
      <w:lvlText w:val="•"/>
      <w:lvlJc w:val="left"/>
      <w:pPr>
        <w:ind w:left="3430" w:hanging="360"/>
      </w:pPr>
    </w:lvl>
    <w:lvl w:ilvl="4">
      <w:numFmt w:val="bullet"/>
      <w:lvlText w:val="•"/>
      <w:lvlJc w:val="left"/>
      <w:pPr>
        <w:ind w:left="4300" w:hanging="360"/>
      </w:pPr>
    </w:lvl>
    <w:lvl w:ilvl="5">
      <w:numFmt w:val="bullet"/>
      <w:lvlText w:val="•"/>
      <w:lvlJc w:val="left"/>
      <w:pPr>
        <w:ind w:left="5170" w:hanging="360"/>
      </w:pPr>
    </w:lvl>
    <w:lvl w:ilvl="6">
      <w:numFmt w:val="bullet"/>
      <w:lvlText w:val="•"/>
      <w:lvlJc w:val="left"/>
      <w:pPr>
        <w:ind w:left="6040" w:hanging="360"/>
      </w:pPr>
    </w:lvl>
    <w:lvl w:ilvl="7">
      <w:numFmt w:val="bullet"/>
      <w:lvlText w:val="•"/>
      <w:lvlJc w:val="left"/>
      <w:pPr>
        <w:ind w:left="6910" w:hanging="360"/>
      </w:pPr>
    </w:lvl>
    <w:lvl w:ilvl="8">
      <w:numFmt w:val="bullet"/>
      <w:lvlText w:val="•"/>
      <w:lvlJc w:val="left"/>
      <w:pPr>
        <w:ind w:left="7780" w:hanging="360"/>
      </w:pPr>
    </w:lvl>
  </w:abstractNum>
  <w:abstractNum w:abstractNumId="11" w15:restartNumberingAfterBreak="0">
    <w:nsid w:val="179A2833"/>
    <w:multiLevelType w:val="hybridMultilevel"/>
    <w:tmpl w:val="F1363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8EF306F"/>
    <w:multiLevelType w:val="hybridMultilevel"/>
    <w:tmpl w:val="877E4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2F44F2"/>
    <w:multiLevelType w:val="hybridMultilevel"/>
    <w:tmpl w:val="5316F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F4A3A"/>
    <w:multiLevelType w:val="hybridMultilevel"/>
    <w:tmpl w:val="B4524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492548"/>
    <w:multiLevelType w:val="hybridMultilevel"/>
    <w:tmpl w:val="6C8EFDE6"/>
    <w:lvl w:ilvl="0" w:tplc="636EEA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30672"/>
    <w:multiLevelType w:val="hybridMultilevel"/>
    <w:tmpl w:val="F822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51270"/>
    <w:multiLevelType w:val="hybridMultilevel"/>
    <w:tmpl w:val="1C00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E0D3A"/>
    <w:multiLevelType w:val="hybridMultilevel"/>
    <w:tmpl w:val="507AEC9E"/>
    <w:lvl w:ilvl="0" w:tplc="089A527E">
      <w:numFmt w:val="bullet"/>
      <w:lvlText w:val=""/>
      <w:lvlJc w:val="left"/>
      <w:pPr>
        <w:ind w:left="360" w:hanging="360"/>
      </w:pPr>
      <w:rPr>
        <w:rFonts w:ascii="Symbol" w:eastAsiaTheme="minorHAnsi" w:hAnsi="Symbol" w:cstheme="minorBidi" w:hint="default"/>
        <w:color w:val="000000" w:themeColor="text1"/>
      </w:rPr>
    </w:lvl>
    <w:lvl w:ilvl="1" w:tplc="524A4070">
      <w:start w:val="1"/>
      <w:numFmt w:val="bullet"/>
      <w:lvlText w:val="o"/>
      <w:lvlJc w:val="left"/>
      <w:pPr>
        <w:ind w:left="1080" w:hanging="360"/>
      </w:pPr>
      <w:rPr>
        <w:rFonts w:ascii="Courier New" w:hAnsi="Courier New" w:cs="Courier New"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975A49"/>
    <w:multiLevelType w:val="hybridMultilevel"/>
    <w:tmpl w:val="21147F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3C00824"/>
    <w:multiLevelType w:val="hybridMultilevel"/>
    <w:tmpl w:val="FE68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A7ECD"/>
    <w:multiLevelType w:val="hybridMultilevel"/>
    <w:tmpl w:val="C10C5B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1B62986"/>
    <w:multiLevelType w:val="hybridMultilevel"/>
    <w:tmpl w:val="554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40356"/>
    <w:multiLevelType w:val="hybridMultilevel"/>
    <w:tmpl w:val="131CA06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BAC4125"/>
    <w:multiLevelType w:val="hybridMultilevel"/>
    <w:tmpl w:val="EC98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E0B8C"/>
    <w:multiLevelType w:val="hybridMultilevel"/>
    <w:tmpl w:val="A6AE1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87396B"/>
    <w:multiLevelType w:val="multilevel"/>
    <w:tmpl w:val="00000886"/>
    <w:lvl w:ilvl="0">
      <w:numFmt w:val="bullet"/>
      <w:lvlText w:val=""/>
      <w:lvlJc w:val="left"/>
      <w:pPr>
        <w:ind w:left="460" w:hanging="360"/>
      </w:pPr>
      <w:rPr>
        <w:rFonts w:ascii="Symbol" w:hAnsi="Symbol" w:cs="Symbol"/>
        <w:b w:val="0"/>
        <w:bCs w:val="0"/>
        <w:sz w:val="24"/>
        <w:szCs w:val="24"/>
      </w:rPr>
    </w:lvl>
    <w:lvl w:ilvl="1">
      <w:numFmt w:val="bullet"/>
      <w:lvlText w:val=""/>
      <w:lvlJc w:val="left"/>
      <w:pPr>
        <w:ind w:left="820" w:hanging="360"/>
      </w:pPr>
      <w:rPr>
        <w:rFonts w:ascii="Symbol" w:hAnsi="Symbol" w:cs="Symbol"/>
        <w:b w:val="0"/>
        <w:bCs w:val="0"/>
        <w:sz w:val="24"/>
        <w:szCs w:val="24"/>
      </w:rPr>
    </w:lvl>
    <w:lvl w:ilvl="2">
      <w:numFmt w:val="bullet"/>
      <w:lvlText w:val="•"/>
      <w:lvlJc w:val="left"/>
      <w:pPr>
        <w:ind w:left="1749" w:hanging="360"/>
      </w:pPr>
    </w:lvl>
    <w:lvl w:ilvl="3">
      <w:numFmt w:val="bullet"/>
      <w:lvlText w:val="•"/>
      <w:lvlJc w:val="left"/>
      <w:pPr>
        <w:ind w:left="2678" w:hanging="360"/>
      </w:pPr>
    </w:lvl>
    <w:lvl w:ilvl="4">
      <w:numFmt w:val="bullet"/>
      <w:lvlText w:val="•"/>
      <w:lvlJc w:val="left"/>
      <w:pPr>
        <w:ind w:left="3606" w:hanging="360"/>
      </w:pPr>
    </w:lvl>
    <w:lvl w:ilvl="5">
      <w:numFmt w:val="bullet"/>
      <w:lvlText w:val="•"/>
      <w:lvlJc w:val="left"/>
      <w:pPr>
        <w:ind w:left="4535" w:hanging="360"/>
      </w:pPr>
    </w:lvl>
    <w:lvl w:ilvl="6">
      <w:numFmt w:val="bullet"/>
      <w:lvlText w:val="•"/>
      <w:lvlJc w:val="left"/>
      <w:pPr>
        <w:ind w:left="5464" w:hanging="360"/>
      </w:pPr>
    </w:lvl>
    <w:lvl w:ilvl="7">
      <w:numFmt w:val="bullet"/>
      <w:lvlText w:val="•"/>
      <w:lvlJc w:val="left"/>
      <w:pPr>
        <w:ind w:left="6393" w:hanging="360"/>
      </w:pPr>
    </w:lvl>
    <w:lvl w:ilvl="8">
      <w:numFmt w:val="bullet"/>
      <w:lvlText w:val="•"/>
      <w:lvlJc w:val="left"/>
      <w:pPr>
        <w:ind w:left="7322" w:hanging="360"/>
      </w:pPr>
    </w:lvl>
  </w:abstractNum>
  <w:abstractNum w:abstractNumId="27" w15:restartNumberingAfterBreak="0">
    <w:nsid w:val="55F8413B"/>
    <w:multiLevelType w:val="multilevel"/>
    <w:tmpl w:val="4A0AD4EA"/>
    <w:lvl w:ilvl="0">
      <w:start w:val="1"/>
      <w:numFmt w:val="bullet"/>
      <w:pStyle w:val="ListParagraph"/>
      <w:lvlText w:val=""/>
      <w:lvlJc w:val="left"/>
      <w:pPr>
        <w:ind w:left="820" w:hanging="360"/>
      </w:pPr>
      <w:rPr>
        <w:rFonts w:ascii="Symbol" w:hAnsi="Symbol" w:hint="default"/>
        <w:b w:val="0"/>
        <w:bCs w:val="0"/>
        <w:sz w:val="24"/>
        <w:szCs w:val="24"/>
      </w:rPr>
    </w:lvl>
    <w:lvl w:ilvl="1">
      <w:numFmt w:val="bullet"/>
      <w:lvlText w:val="•"/>
      <w:lvlJc w:val="left"/>
      <w:pPr>
        <w:ind w:left="1690" w:hanging="360"/>
      </w:pPr>
    </w:lvl>
    <w:lvl w:ilvl="2">
      <w:numFmt w:val="bullet"/>
      <w:lvlText w:val="•"/>
      <w:lvlJc w:val="left"/>
      <w:pPr>
        <w:ind w:left="2560" w:hanging="360"/>
      </w:pPr>
    </w:lvl>
    <w:lvl w:ilvl="3">
      <w:numFmt w:val="bullet"/>
      <w:lvlText w:val="•"/>
      <w:lvlJc w:val="left"/>
      <w:pPr>
        <w:ind w:left="3430" w:hanging="360"/>
      </w:pPr>
    </w:lvl>
    <w:lvl w:ilvl="4">
      <w:numFmt w:val="bullet"/>
      <w:lvlText w:val="•"/>
      <w:lvlJc w:val="left"/>
      <w:pPr>
        <w:ind w:left="4300" w:hanging="360"/>
      </w:pPr>
    </w:lvl>
    <w:lvl w:ilvl="5">
      <w:numFmt w:val="bullet"/>
      <w:lvlText w:val="•"/>
      <w:lvlJc w:val="left"/>
      <w:pPr>
        <w:ind w:left="5170" w:hanging="360"/>
      </w:pPr>
    </w:lvl>
    <w:lvl w:ilvl="6">
      <w:numFmt w:val="bullet"/>
      <w:lvlText w:val="•"/>
      <w:lvlJc w:val="left"/>
      <w:pPr>
        <w:ind w:left="6040" w:hanging="360"/>
      </w:pPr>
    </w:lvl>
    <w:lvl w:ilvl="7">
      <w:numFmt w:val="bullet"/>
      <w:lvlText w:val="•"/>
      <w:lvlJc w:val="left"/>
      <w:pPr>
        <w:ind w:left="6910" w:hanging="360"/>
      </w:pPr>
    </w:lvl>
    <w:lvl w:ilvl="8">
      <w:numFmt w:val="bullet"/>
      <w:lvlText w:val="•"/>
      <w:lvlJc w:val="left"/>
      <w:pPr>
        <w:ind w:left="7780" w:hanging="360"/>
      </w:pPr>
    </w:lvl>
  </w:abstractNum>
  <w:abstractNum w:abstractNumId="28" w15:restartNumberingAfterBreak="0">
    <w:nsid w:val="58A86482"/>
    <w:multiLevelType w:val="hybridMultilevel"/>
    <w:tmpl w:val="05AE43C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908607B"/>
    <w:multiLevelType w:val="multilevel"/>
    <w:tmpl w:val="0DC21F00"/>
    <w:styleLink w:val="StyleBulletedSymbolsymbolLeft0Hanging025"/>
    <w:lvl w:ilvl="0">
      <w:start w:val="1"/>
      <w:numFmt w:val="bullet"/>
      <w:lvlText w:val=""/>
      <w:lvlJc w:val="left"/>
      <w:pPr>
        <w:ind w:left="36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D5554A"/>
    <w:multiLevelType w:val="hybridMultilevel"/>
    <w:tmpl w:val="FF002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1906DF"/>
    <w:multiLevelType w:val="hybridMultilevel"/>
    <w:tmpl w:val="EEA60702"/>
    <w:lvl w:ilvl="0" w:tplc="E4DE9A5A">
      <w:numFmt w:val="bullet"/>
      <w:lvlText w:val="-"/>
      <w:lvlJc w:val="left"/>
      <w:pPr>
        <w:ind w:left="1080" w:hanging="360"/>
      </w:pPr>
      <w:rPr>
        <w:rFonts w:ascii="Arial" w:eastAsiaTheme="minorEastAsia" w:hAnsi="Arial" w:cs="Arial" w:hint="default"/>
      </w:rPr>
    </w:lvl>
    <w:lvl w:ilvl="1" w:tplc="E4DE9A5A">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B30434"/>
    <w:multiLevelType w:val="multilevel"/>
    <w:tmpl w:val="0DC21F00"/>
    <w:numStyleLink w:val="StyleBulletedSymbolsymbolLeft0Hanging025"/>
  </w:abstractNum>
  <w:abstractNum w:abstractNumId="33" w15:restartNumberingAfterBreak="0">
    <w:nsid w:val="717D291C"/>
    <w:multiLevelType w:val="multilevel"/>
    <w:tmpl w:val="E1D401F0"/>
    <w:lvl w:ilvl="0">
      <w:start w:val="1"/>
      <w:numFmt w:val="bullet"/>
      <w:lvlText w:val=""/>
      <w:lvlJc w:val="left"/>
      <w:pPr>
        <w:ind w:left="820" w:hanging="360"/>
      </w:pPr>
      <w:rPr>
        <w:rFonts w:ascii="Symbol" w:hAnsi="Symbol" w:hint="default"/>
        <w:b w:val="0"/>
        <w:bCs w:val="0"/>
        <w:sz w:val="24"/>
        <w:szCs w:val="24"/>
      </w:rPr>
    </w:lvl>
    <w:lvl w:ilvl="1">
      <w:numFmt w:val="bullet"/>
      <w:lvlText w:val="•"/>
      <w:lvlJc w:val="left"/>
      <w:pPr>
        <w:ind w:left="1690" w:hanging="360"/>
      </w:pPr>
    </w:lvl>
    <w:lvl w:ilvl="2">
      <w:numFmt w:val="bullet"/>
      <w:lvlText w:val="•"/>
      <w:lvlJc w:val="left"/>
      <w:pPr>
        <w:ind w:left="2560" w:hanging="360"/>
      </w:pPr>
    </w:lvl>
    <w:lvl w:ilvl="3">
      <w:numFmt w:val="bullet"/>
      <w:lvlText w:val="•"/>
      <w:lvlJc w:val="left"/>
      <w:pPr>
        <w:ind w:left="3430" w:hanging="360"/>
      </w:pPr>
    </w:lvl>
    <w:lvl w:ilvl="4">
      <w:numFmt w:val="bullet"/>
      <w:lvlText w:val="•"/>
      <w:lvlJc w:val="left"/>
      <w:pPr>
        <w:ind w:left="4300" w:hanging="360"/>
      </w:pPr>
    </w:lvl>
    <w:lvl w:ilvl="5">
      <w:numFmt w:val="bullet"/>
      <w:lvlText w:val="•"/>
      <w:lvlJc w:val="left"/>
      <w:pPr>
        <w:ind w:left="5170" w:hanging="360"/>
      </w:pPr>
    </w:lvl>
    <w:lvl w:ilvl="6">
      <w:numFmt w:val="bullet"/>
      <w:lvlText w:val="•"/>
      <w:lvlJc w:val="left"/>
      <w:pPr>
        <w:ind w:left="6040" w:hanging="360"/>
      </w:pPr>
    </w:lvl>
    <w:lvl w:ilvl="7">
      <w:numFmt w:val="bullet"/>
      <w:lvlText w:val="•"/>
      <w:lvlJc w:val="left"/>
      <w:pPr>
        <w:ind w:left="6910" w:hanging="360"/>
      </w:pPr>
    </w:lvl>
    <w:lvl w:ilvl="8">
      <w:numFmt w:val="bullet"/>
      <w:lvlText w:val="•"/>
      <w:lvlJc w:val="left"/>
      <w:pPr>
        <w:ind w:left="7780" w:hanging="360"/>
      </w:pPr>
    </w:lvl>
  </w:abstractNum>
  <w:abstractNum w:abstractNumId="34" w15:restartNumberingAfterBreak="0">
    <w:nsid w:val="721E2CA3"/>
    <w:multiLevelType w:val="hybridMultilevel"/>
    <w:tmpl w:val="6DA27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348C6"/>
    <w:multiLevelType w:val="hybridMultilevel"/>
    <w:tmpl w:val="F4F4BA7E"/>
    <w:lvl w:ilvl="0" w:tplc="06A0935E">
      <w:start w:val="1"/>
      <w:numFmt w:val="decimal"/>
      <w:lvlText w:val="%1."/>
      <w:lvlJc w:val="left"/>
      <w:pPr>
        <w:ind w:left="921" w:hanging="360"/>
      </w:pPr>
      <w:rPr>
        <w:rFonts w:cs="Times New Roman" w:hint="default"/>
      </w:rPr>
    </w:lvl>
    <w:lvl w:ilvl="1" w:tplc="04090019">
      <w:start w:val="1"/>
      <w:numFmt w:val="lowerLetter"/>
      <w:lvlText w:val="%2."/>
      <w:lvlJc w:val="left"/>
      <w:pPr>
        <w:ind w:left="1641" w:hanging="360"/>
      </w:pPr>
      <w:rPr>
        <w:rFonts w:cs="Times New Roman"/>
      </w:rPr>
    </w:lvl>
    <w:lvl w:ilvl="2" w:tplc="0409001B" w:tentative="1">
      <w:start w:val="1"/>
      <w:numFmt w:val="lowerRoman"/>
      <w:lvlText w:val="%3."/>
      <w:lvlJc w:val="right"/>
      <w:pPr>
        <w:ind w:left="2361" w:hanging="180"/>
      </w:pPr>
      <w:rPr>
        <w:rFonts w:cs="Times New Roman"/>
      </w:rPr>
    </w:lvl>
    <w:lvl w:ilvl="3" w:tplc="0409000F" w:tentative="1">
      <w:start w:val="1"/>
      <w:numFmt w:val="decimal"/>
      <w:lvlText w:val="%4."/>
      <w:lvlJc w:val="left"/>
      <w:pPr>
        <w:ind w:left="3081" w:hanging="360"/>
      </w:pPr>
      <w:rPr>
        <w:rFonts w:cs="Times New Roman"/>
      </w:rPr>
    </w:lvl>
    <w:lvl w:ilvl="4" w:tplc="04090019" w:tentative="1">
      <w:start w:val="1"/>
      <w:numFmt w:val="lowerLetter"/>
      <w:lvlText w:val="%5."/>
      <w:lvlJc w:val="left"/>
      <w:pPr>
        <w:ind w:left="3801" w:hanging="360"/>
      </w:pPr>
      <w:rPr>
        <w:rFonts w:cs="Times New Roman"/>
      </w:rPr>
    </w:lvl>
    <w:lvl w:ilvl="5" w:tplc="0409001B" w:tentative="1">
      <w:start w:val="1"/>
      <w:numFmt w:val="lowerRoman"/>
      <w:lvlText w:val="%6."/>
      <w:lvlJc w:val="right"/>
      <w:pPr>
        <w:ind w:left="4521" w:hanging="180"/>
      </w:pPr>
      <w:rPr>
        <w:rFonts w:cs="Times New Roman"/>
      </w:rPr>
    </w:lvl>
    <w:lvl w:ilvl="6" w:tplc="0409000F" w:tentative="1">
      <w:start w:val="1"/>
      <w:numFmt w:val="decimal"/>
      <w:lvlText w:val="%7."/>
      <w:lvlJc w:val="left"/>
      <w:pPr>
        <w:ind w:left="5241" w:hanging="360"/>
      </w:pPr>
      <w:rPr>
        <w:rFonts w:cs="Times New Roman"/>
      </w:rPr>
    </w:lvl>
    <w:lvl w:ilvl="7" w:tplc="04090019" w:tentative="1">
      <w:start w:val="1"/>
      <w:numFmt w:val="lowerLetter"/>
      <w:lvlText w:val="%8."/>
      <w:lvlJc w:val="left"/>
      <w:pPr>
        <w:ind w:left="5961" w:hanging="360"/>
      </w:pPr>
      <w:rPr>
        <w:rFonts w:cs="Times New Roman"/>
      </w:rPr>
    </w:lvl>
    <w:lvl w:ilvl="8" w:tplc="0409001B" w:tentative="1">
      <w:start w:val="1"/>
      <w:numFmt w:val="lowerRoman"/>
      <w:lvlText w:val="%9."/>
      <w:lvlJc w:val="right"/>
      <w:pPr>
        <w:ind w:left="6681" w:hanging="180"/>
      </w:pPr>
      <w:rPr>
        <w:rFonts w:cs="Times New Roman"/>
      </w:rPr>
    </w:lvl>
  </w:abstractNum>
  <w:abstractNum w:abstractNumId="36" w15:restartNumberingAfterBreak="0">
    <w:nsid w:val="789377FD"/>
    <w:multiLevelType w:val="hybridMultilevel"/>
    <w:tmpl w:val="24B0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247AD"/>
    <w:multiLevelType w:val="hybridMultilevel"/>
    <w:tmpl w:val="D970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9"/>
  </w:num>
  <w:num w:numId="8">
    <w:abstractNumId w:val="32"/>
  </w:num>
  <w:num w:numId="9">
    <w:abstractNumId w:val="24"/>
  </w:num>
  <w:num w:numId="10">
    <w:abstractNumId w:val="26"/>
  </w:num>
  <w:num w:numId="11">
    <w:abstractNumId w:val="10"/>
  </w:num>
  <w:num w:numId="12">
    <w:abstractNumId w:val="27"/>
  </w:num>
  <w:num w:numId="13">
    <w:abstractNumId w:val="27"/>
  </w:num>
  <w:num w:numId="14">
    <w:abstractNumId w:val="27"/>
  </w:num>
  <w:num w:numId="15">
    <w:abstractNumId w:val="3"/>
  </w:num>
  <w:num w:numId="16">
    <w:abstractNumId w:val="12"/>
  </w:num>
  <w:num w:numId="17">
    <w:abstractNumId w:val="27"/>
  </w:num>
  <w:num w:numId="18">
    <w:abstractNumId w:val="18"/>
  </w:num>
  <w:num w:numId="19">
    <w:abstractNumId w:val="27"/>
  </w:num>
  <w:num w:numId="20">
    <w:abstractNumId w:val="3"/>
  </w:num>
  <w:num w:numId="21">
    <w:abstractNumId w:val="27"/>
  </w:num>
  <w:num w:numId="22">
    <w:abstractNumId w:val="3"/>
  </w:num>
  <w:num w:numId="23">
    <w:abstractNumId w:val="3"/>
  </w:num>
  <w:num w:numId="24">
    <w:abstractNumId w:val="35"/>
  </w:num>
  <w:num w:numId="25">
    <w:abstractNumId w:val="27"/>
  </w:num>
  <w:num w:numId="26">
    <w:abstractNumId w:val="11"/>
  </w:num>
  <w:num w:numId="27">
    <w:abstractNumId w:val="27"/>
  </w:num>
  <w:num w:numId="28">
    <w:abstractNumId w:val="14"/>
  </w:num>
  <w:num w:numId="29">
    <w:abstractNumId w:val="13"/>
  </w:num>
  <w:num w:numId="30">
    <w:abstractNumId w:val="34"/>
  </w:num>
  <w:num w:numId="31">
    <w:abstractNumId w:val="17"/>
  </w:num>
  <w:num w:numId="32">
    <w:abstractNumId w:val="27"/>
  </w:num>
  <w:num w:numId="33">
    <w:abstractNumId w:val="33"/>
  </w:num>
  <w:num w:numId="34">
    <w:abstractNumId w:val="6"/>
  </w:num>
  <w:num w:numId="35">
    <w:abstractNumId w:val="23"/>
  </w:num>
  <w:num w:numId="36">
    <w:abstractNumId w:val="25"/>
  </w:num>
  <w:num w:numId="37">
    <w:abstractNumId w:val="23"/>
  </w:num>
  <w:num w:numId="38">
    <w:abstractNumId w:val="31"/>
  </w:num>
  <w:num w:numId="39">
    <w:abstractNumId w:val="21"/>
  </w:num>
  <w:num w:numId="40">
    <w:abstractNumId w:val="19"/>
  </w:num>
  <w:num w:numId="41">
    <w:abstractNumId w:val="28"/>
  </w:num>
  <w:num w:numId="42">
    <w:abstractNumId w:val="37"/>
  </w:num>
  <w:num w:numId="43">
    <w:abstractNumId w:val="8"/>
  </w:num>
  <w:num w:numId="44">
    <w:abstractNumId w:val="30"/>
  </w:num>
  <w:num w:numId="45">
    <w:abstractNumId w:val="36"/>
  </w:num>
  <w:num w:numId="46">
    <w:abstractNumId w:val="15"/>
  </w:num>
  <w:num w:numId="47">
    <w:abstractNumId w:val="16"/>
  </w:num>
  <w:num w:numId="48">
    <w:abstractNumId w:val="22"/>
  </w:num>
  <w:num w:numId="49">
    <w:abstractNumId w:val="9"/>
  </w:num>
  <w:num w:numId="50">
    <w:abstractNumId w:val="20"/>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zsLC0NDaztDQyNbVU0lEKTi0uzszPAykwMqoFAAZIVYMtAAAA"/>
  </w:docVars>
  <w:rsids>
    <w:rsidRoot w:val="00EB500D"/>
    <w:rsid w:val="00001607"/>
    <w:rsid w:val="00002148"/>
    <w:rsid w:val="000057A0"/>
    <w:rsid w:val="0000645A"/>
    <w:rsid w:val="000067C8"/>
    <w:rsid w:val="0000702E"/>
    <w:rsid w:val="0001743C"/>
    <w:rsid w:val="000210D9"/>
    <w:rsid w:val="000246AE"/>
    <w:rsid w:val="00027F5D"/>
    <w:rsid w:val="000340F2"/>
    <w:rsid w:val="000352EF"/>
    <w:rsid w:val="00037754"/>
    <w:rsid w:val="00046761"/>
    <w:rsid w:val="0005799D"/>
    <w:rsid w:val="00061BF8"/>
    <w:rsid w:val="00063906"/>
    <w:rsid w:val="00071D6A"/>
    <w:rsid w:val="0007220E"/>
    <w:rsid w:val="0007555D"/>
    <w:rsid w:val="000758AF"/>
    <w:rsid w:val="00075CD7"/>
    <w:rsid w:val="0007680A"/>
    <w:rsid w:val="00077B1D"/>
    <w:rsid w:val="0008451C"/>
    <w:rsid w:val="00085A5A"/>
    <w:rsid w:val="00086A2C"/>
    <w:rsid w:val="00090527"/>
    <w:rsid w:val="00093786"/>
    <w:rsid w:val="0009400C"/>
    <w:rsid w:val="00097689"/>
    <w:rsid w:val="000A4AE3"/>
    <w:rsid w:val="000A62D4"/>
    <w:rsid w:val="000B0EED"/>
    <w:rsid w:val="000B5193"/>
    <w:rsid w:val="000B727B"/>
    <w:rsid w:val="000C100D"/>
    <w:rsid w:val="000D008D"/>
    <w:rsid w:val="000D43BB"/>
    <w:rsid w:val="000E35E9"/>
    <w:rsid w:val="000E3F17"/>
    <w:rsid w:val="000E6FF4"/>
    <w:rsid w:val="000E71F7"/>
    <w:rsid w:val="000E73DA"/>
    <w:rsid w:val="000F0901"/>
    <w:rsid w:val="000F23F2"/>
    <w:rsid w:val="000F2732"/>
    <w:rsid w:val="000F697B"/>
    <w:rsid w:val="00100E18"/>
    <w:rsid w:val="001019B5"/>
    <w:rsid w:val="00104A6D"/>
    <w:rsid w:val="00113006"/>
    <w:rsid w:val="001158C5"/>
    <w:rsid w:val="00116064"/>
    <w:rsid w:val="0012587B"/>
    <w:rsid w:val="00130917"/>
    <w:rsid w:val="00130D51"/>
    <w:rsid w:val="00130D97"/>
    <w:rsid w:val="0013629D"/>
    <w:rsid w:val="00137A51"/>
    <w:rsid w:val="001409E9"/>
    <w:rsid w:val="00143209"/>
    <w:rsid w:val="00144C04"/>
    <w:rsid w:val="00144E49"/>
    <w:rsid w:val="00145094"/>
    <w:rsid w:val="0014518B"/>
    <w:rsid w:val="001459AE"/>
    <w:rsid w:val="001505BD"/>
    <w:rsid w:val="0015279C"/>
    <w:rsid w:val="00157E66"/>
    <w:rsid w:val="00164874"/>
    <w:rsid w:val="00164BF7"/>
    <w:rsid w:val="001654F0"/>
    <w:rsid w:val="00165F09"/>
    <w:rsid w:val="00165FAE"/>
    <w:rsid w:val="00166B5B"/>
    <w:rsid w:val="0017331E"/>
    <w:rsid w:val="0018087F"/>
    <w:rsid w:val="00181C2A"/>
    <w:rsid w:val="00182707"/>
    <w:rsid w:val="0018277B"/>
    <w:rsid w:val="00184807"/>
    <w:rsid w:val="00185339"/>
    <w:rsid w:val="00190C73"/>
    <w:rsid w:val="001937F3"/>
    <w:rsid w:val="00193DCB"/>
    <w:rsid w:val="00195E07"/>
    <w:rsid w:val="001A01C3"/>
    <w:rsid w:val="001A1019"/>
    <w:rsid w:val="001A11A1"/>
    <w:rsid w:val="001A1969"/>
    <w:rsid w:val="001A1EBD"/>
    <w:rsid w:val="001A2849"/>
    <w:rsid w:val="001A2CB5"/>
    <w:rsid w:val="001A428B"/>
    <w:rsid w:val="001A5318"/>
    <w:rsid w:val="001A565D"/>
    <w:rsid w:val="001B5B4D"/>
    <w:rsid w:val="001B5D23"/>
    <w:rsid w:val="001B6153"/>
    <w:rsid w:val="001B7364"/>
    <w:rsid w:val="001B77DA"/>
    <w:rsid w:val="001C01A9"/>
    <w:rsid w:val="001C64B6"/>
    <w:rsid w:val="001C7888"/>
    <w:rsid w:val="001D151C"/>
    <w:rsid w:val="001D417F"/>
    <w:rsid w:val="001E0A72"/>
    <w:rsid w:val="001E1585"/>
    <w:rsid w:val="001E1AE7"/>
    <w:rsid w:val="001E3A2E"/>
    <w:rsid w:val="001E4336"/>
    <w:rsid w:val="001E69E6"/>
    <w:rsid w:val="001E73F6"/>
    <w:rsid w:val="001E7416"/>
    <w:rsid w:val="001F0009"/>
    <w:rsid w:val="001F2577"/>
    <w:rsid w:val="001F3625"/>
    <w:rsid w:val="00201F9E"/>
    <w:rsid w:val="00203D09"/>
    <w:rsid w:val="002048FF"/>
    <w:rsid w:val="00206595"/>
    <w:rsid w:val="00213F60"/>
    <w:rsid w:val="0021676F"/>
    <w:rsid w:val="002203FA"/>
    <w:rsid w:val="0022137D"/>
    <w:rsid w:val="00223022"/>
    <w:rsid w:val="002244FD"/>
    <w:rsid w:val="00230E5B"/>
    <w:rsid w:val="002315A9"/>
    <w:rsid w:val="00235107"/>
    <w:rsid w:val="00236336"/>
    <w:rsid w:val="0024494A"/>
    <w:rsid w:val="002451F7"/>
    <w:rsid w:val="0025067A"/>
    <w:rsid w:val="002511DE"/>
    <w:rsid w:val="002543FA"/>
    <w:rsid w:val="0025717B"/>
    <w:rsid w:val="002651DF"/>
    <w:rsid w:val="00272931"/>
    <w:rsid w:val="00272BFC"/>
    <w:rsid w:val="00273948"/>
    <w:rsid w:val="00273E4C"/>
    <w:rsid w:val="002745C5"/>
    <w:rsid w:val="002769CB"/>
    <w:rsid w:val="00285FE7"/>
    <w:rsid w:val="00286B3B"/>
    <w:rsid w:val="00294AB6"/>
    <w:rsid w:val="00295DC5"/>
    <w:rsid w:val="00297C90"/>
    <w:rsid w:val="002A0198"/>
    <w:rsid w:val="002A01CC"/>
    <w:rsid w:val="002A02C9"/>
    <w:rsid w:val="002A0BC3"/>
    <w:rsid w:val="002A2716"/>
    <w:rsid w:val="002A7C81"/>
    <w:rsid w:val="002B0B16"/>
    <w:rsid w:val="002B0B2C"/>
    <w:rsid w:val="002B1933"/>
    <w:rsid w:val="002B1DE2"/>
    <w:rsid w:val="002B34A1"/>
    <w:rsid w:val="002B4BA1"/>
    <w:rsid w:val="002B72A2"/>
    <w:rsid w:val="002C0C5A"/>
    <w:rsid w:val="002C251A"/>
    <w:rsid w:val="002C35A8"/>
    <w:rsid w:val="002C3EA2"/>
    <w:rsid w:val="002C5529"/>
    <w:rsid w:val="002D7C77"/>
    <w:rsid w:val="002E2471"/>
    <w:rsid w:val="002E2C29"/>
    <w:rsid w:val="002E62E9"/>
    <w:rsid w:val="002F0846"/>
    <w:rsid w:val="002F115F"/>
    <w:rsid w:val="002F2339"/>
    <w:rsid w:val="002F2B2E"/>
    <w:rsid w:val="002F2C84"/>
    <w:rsid w:val="00300B1D"/>
    <w:rsid w:val="0030367F"/>
    <w:rsid w:val="00306073"/>
    <w:rsid w:val="003113E2"/>
    <w:rsid w:val="00317C83"/>
    <w:rsid w:val="00320FE3"/>
    <w:rsid w:val="00325A78"/>
    <w:rsid w:val="00334A83"/>
    <w:rsid w:val="00337293"/>
    <w:rsid w:val="00340396"/>
    <w:rsid w:val="00343B45"/>
    <w:rsid w:val="003447D4"/>
    <w:rsid w:val="00346DEB"/>
    <w:rsid w:val="00350578"/>
    <w:rsid w:val="00354D70"/>
    <w:rsid w:val="00355CC0"/>
    <w:rsid w:val="00356746"/>
    <w:rsid w:val="00357C91"/>
    <w:rsid w:val="00360968"/>
    <w:rsid w:val="00361AE2"/>
    <w:rsid w:val="00361C02"/>
    <w:rsid w:val="003629EC"/>
    <w:rsid w:val="00372404"/>
    <w:rsid w:val="003733CE"/>
    <w:rsid w:val="00374478"/>
    <w:rsid w:val="00375524"/>
    <w:rsid w:val="003773DC"/>
    <w:rsid w:val="00384AB5"/>
    <w:rsid w:val="00390FFE"/>
    <w:rsid w:val="00393139"/>
    <w:rsid w:val="003943C5"/>
    <w:rsid w:val="003951BE"/>
    <w:rsid w:val="003A0AE5"/>
    <w:rsid w:val="003A29AA"/>
    <w:rsid w:val="003B2532"/>
    <w:rsid w:val="003B3171"/>
    <w:rsid w:val="003B3678"/>
    <w:rsid w:val="003B54F6"/>
    <w:rsid w:val="003B5D3B"/>
    <w:rsid w:val="003C062B"/>
    <w:rsid w:val="003C39D5"/>
    <w:rsid w:val="003C5BBA"/>
    <w:rsid w:val="003D08DD"/>
    <w:rsid w:val="003D43C3"/>
    <w:rsid w:val="003E00B4"/>
    <w:rsid w:val="003E18E6"/>
    <w:rsid w:val="003E2C3E"/>
    <w:rsid w:val="003E3ACE"/>
    <w:rsid w:val="003E5486"/>
    <w:rsid w:val="003E58F8"/>
    <w:rsid w:val="003E7F63"/>
    <w:rsid w:val="003F457E"/>
    <w:rsid w:val="003F5FE0"/>
    <w:rsid w:val="00402065"/>
    <w:rsid w:val="00404618"/>
    <w:rsid w:val="0040561B"/>
    <w:rsid w:val="0040733F"/>
    <w:rsid w:val="00407D18"/>
    <w:rsid w:val="00413B3D"/>
    <w:rsid w:val="0042524E"/>
    <w:rsid w:val="00433D1B"/>
    <w:rsid w:val="00437D4E"/>
    <w:rsid w:val="004402CE"/>
    <w:rsid w:val="00445809"/>
    <w:rsid w:val="00445AC2"/>
    <w:rsid w:val="004513CB"/>
    <w:rsid w:val="00456784"/>
    <w:rsid w:val="00457F26"/>
    <w:rsid w:val="00460744"/>
    <w:rsid w:val="004609C3"/>
    <w:rsid w:val="00464415"/>
    <w:rsid w:val="00464A90"/>
    <w:rsid w:val="00465A29"/>
    <w:rsid w:val="004662F5"/>
    <w:rsid w:val="00467C3C"/>
    <w:rsid w:val="00471C00"/>
    <w:rsid w:val="0047678E"/>
    <w:rsid w:val="00481437"/>
    <w:rsid w:val="004828A8"/>
    <w:rsid w:val="00486EC3"/>
    <w:rsid w:val="00491C83"/>
    <w:rsid w:val="00492235"/>
    <w:rsid w:val="004928B6"/>
    <w:rsid w:val="0049327F"/>
    <w:rsid w:val="004A39A9"/>
    <w:rsid w:val="004A61FA"/>
    <w:rsid w:val="004B1DF0"/>
    <w:rsid w:val="004B2DF7"/>
    <w:rsid w:val="004B4982"/>
    <w:rsid w:val="004B4F15"/>
    <w:rsid w:val="004B7050"/>
    <w:rsid w:val="004C01CA"/>
    <w:rsid w:val="004C1311"/>
    <w:rsid w:val="004C5BDB"/>
    <w:rsid w:val="004C5E17"/>
    <w:rsid w:val="004D0755"/>
    <w:rsid w:val="004D0C1B"/>
    <w:rsid w:val="004D3C9F"/>
    <w:rsid w:val="004D44E0"/>
    <w:rsid w:val="004D509D"/>
    <w:rsid w:val="004D547A"/>
    <w:rsid w:val="004E34D2"/>
    <w:rsid w:val="004E3966"/>
    <w:rsid w:val="004E4AA9"/>
    <w:rsid w:val="004E4F98"/>
    <w:rsid w:val="004E541C"/>
    <w:rsid w:val="004F194A"/>
    <w:rsid w:val="004F31AD"/>
    <w:rsid w:val="004F3853"/>
    <w:rsid w:val="004F3A9A"/>
    <w:rsid w:val="004F4805"/>
    <w:rsid w:val="004F4FC6"/>
    <w:rsid w:val="00500151"/>
    <w:rsid w:val="00507ED8"/>
    <w:rsid w:val="0051142E"/>
    <w:rsid w:val="00514954"/>
    <w:rsid w:val="00515F22"/>
    <w:rsid w:val="00517A85"/>
    <w:rsid w:val="005345D3"/>
    <w:rsid w:val="005416E1"/>
    <w:rsid w:val="00541947"/>
    <w:rsid w:val="00543ADA"/>
    <w:rsid w:val="005451D8"/>
    <w:rsid w:val="00547E33"/>
    <w:rsid w:val="00553405"/>
    <w:rsid w:val="005624B8"/>
    <w:rsid w:val="00564B96"/>
    <w:rsid w:val="00565AC4"/>
    <w:rsid w:val="00567A9E"/>
    <w:rsid w:val="005742FB"/>
    <w:rsid w:val="00575E9A"/>
    <w:rsid w:val="00577F57"/>
    <w:rsid w:val="00582B79"/>
    <w:rsid w:val="00584A81"/>
    <w:rsid w:val="00590700"/>
    <w:rsid w:val="005A1F5B"/>
    <w:rsid w:val="005A6524"/>
    <w:rsid w:val="005A7F2F"/>
    <w:rsid w:val="005B547B"/>
    <w:rsid w:val="005B7E00"/>
    <w:rsid w:val="005B7E90"/>
    <w:rsid w:val="005C0A37"/>
    <w:rsid w:val="005C557A"/>
    <w:rsid w:val="005D1AD8"/>
    <w:rsid w:val="005D244C"/>
    <w:rsid w:val="005D4C66"/>
    <w:rsid w:val="005D515B"/>
    <w:rsid w:val="005D619C"/>
    <w:rsid w:val="005E0AE9"/>
    <w:rsid w:val="005E0B28"/>
    <w:rsid w:val="005E21DD"/>
    <w:rsid w:val="005E33C5"/>
    <w:rsid w:val="005E4BAE"/>
    <w:rsid w:val="005E5F41"/>
    <w:rsid w:val="005F7E18"/>
    <w:rsid w:val="005F7E52"/>
    <w:rsid w:val="0060256D"/>
    <w:rsid w:val="00604993"/>
    <w:rsid w:val="00604F71"/>
    <w:rsid w:val="006067F1"/>
    <w:rsid w:val="00606FE7"/>
    <w:rsid w:val="00610B4D"/>
    <w:rsid w:val="006122AB"/>
    <w:rsid w:val="00612D18"/>
    <w:rsid w:val="006138DD"/>
    <w:rsid w:val="0061484A"/>
    <w:rsid w:val="00616C79"/>
    <w:rsid w:val="00620D23"/>
    <w:rsid w:val="00621CF6"/>
    <w:rsid w:val="00621E10"/>
    <w:rsid w:val="00625C61"/>
    <w:rsid w:val="0062744C"/>
    <w:rsid w:val="0063079C"/>
    <w:rsid w:val="00631C4F"/>
    <w:rsid w:val="00631F9B"/>
    <w:rsid w:val="00632543"/>
    <w:rsid w:val="00636FE2"/>
    <w:rsid w:val="00641B5E"/>
    <w:rsid w:val="0064393A"/>
    <w:rsid w:val="00654EDB"/>
    <w:rsid w:val="00655C01"/>
    <w:rsid w:val="006570AB"/>
    <w:rsid w:val="00657788"/>
    <w:rsid w:val="00660430"/>
    <w:rsid w:val="00660CBD"/>
    <w:rsid w:val="00661E39"/>
    <w:rsid w:val="0066330E"/>
    <w:rsid w:val="0067070A"/>
    <w:rsid w:val="006724EE"/>
    <w:rsid w:val="006775BE"/>
    <w:rsid w:val="006828C4"/>
    <w:rsid w:val="00690CD3"/>
    <w:rsid w:val="00691003"/>
    <w:rsid w:val="0069181B"/>
    <w:rsid w:val="006929CE"/>
    <w:rsid w:val="00695772"/>
    <w:rsid w:val="00697A04"/>
    <w:rsid w:val="006A23CE"/>
    <w:rsid w:val="006A4787"/>
    <w:rsid w:val="006B2C6D"/>
    <w:rsid w:val="006B4C7E"/>
    <w:rsid w:val="006C3594"/>
    <w:rsid w:val="006C510B"/>
    <w:rsid w:val="006C537C"/>
    <w:rsid w:val="006C790D"/>
    <w:rsid w:val="006D15F8"/>
    <w:rsid w:val="006D1FC8"/>
    <w:rsid w:val="006D48DB"/>
    <w:rsid w:val="006E0FCF"/>
    <w:rsid w:val="006E3574"/>
    <w:rsid w:val="006F2870"/>
    <w:rsid w:val="006F2FEF"/>
    <w:rsid w:val="006F3329"/>
    <w:rsid w:val="006F496E"/>
    <w:rsid w:val="006F5CE2"/>
    <w:rsid w:val="007029DA"/>
    <w:rsid w:val="00702AE1"/>
    <w:rsid w:val="007051DC"/>
    <w:rsid w:val="00706E5F"/>
    <w:rsid w:val="0071124F"/>
    <w:rsid w:val="00714683"/>
    <w:rsid w:val="00714ABB"/>
    <w:rsid w:val="00725E51"/>
    <w:rsid w:val="00725F35"/>
    <w:rsid w:val="00725F40"/>
    <w:rsid w:val="00726314"/>
    <w:rsid w:val="007277DA"/>
    <w:rsid w:val="00733D15"/>
    <w:rsid w:val="00735A46"/>
    <w:rsid w:val="007361A0"/>
    <w:rsid w:val="00740CB5"/>
    <w:rsid w:val="007421D1"/>
    <w:rsid w:val="00744336"/>
    <w:rsid w:val="00751058"/>
    <w:rsid w:val="007517CE"/>
    <w:rsid w:val="00756D43"/>
    <w:rsid w:val="007572CE"/>
    <w:rsid w:val="007621D4"/>
    <w:rsid w:val="0076307D"/>
    <w:rsid w:val="00764392"/>
    <w:rsid w:val="007654ED"/>
    <w:rsid w:val="007672DA"/>
    <w:rsid w:val="00770757"/>
    <w:rsid w:val="00771442"/>
    <w:rsid w:val="007718F3"/>
    <w:rsid w:val="00771D57"/>
    <w:rsid w:val="00773533"/>
    <w:rsid w:val="00774789"/>
    <w:rsid w:val="00775A87"/>
    <w:rsid w:val="0078147F"/>
    <w:rsid w:val="00782F72"/>
    <w:rsid w:val="00794096"/>
    <w:rsid w:val="007947F3"/>
    <w:rsid w:val="007953B3"/>
    <w:rsid w:val="00795548"/>
    <w:rsid w:val="00796ACB"/>
    <w:rsid w:val="007978F7"/>
    <w:rsid w:val="007A0143"/>
    <w:rsid w:val="007A23C3"/>
    <w:rsid w:val="007A4579"/>
    <w:rsid w:val="007A4A60"/>
    <w:rsid w:val="007B00FB"/>
    <w:rsid w:val="007B07CD"/>
    <w:rsid w:val="007B6B72"/>
    <w:rsid w:val="007C1825"/>
    <w:rsid w:val="007C5AB4"/>
    <w:rsid w:val="007C6794"/>
    <w:rsid w:val="007D09DD"/>
    <w:rsid w:val="007D55C7"/>
    <w:rsid w:val="007D7DFD"/>
    <w:rsid w:val="007D7E19"/>
    <w:rsid w:val="007E163D"/>
    <w:rsid w:val="007E3048"/>
    <w:rsid w:val="007E53FE"/>
    <w:rsid w:val="007E73F2"/>
    <w:rsid w:val="007F2E01"/>
    <w:rsid w:val="007F3535"/>
    <w:rsid w:val="007F43BF"/>
    <w:rsid w:val="007F49EF"/>
    <w:rsid w:val="008024F7"/>
    <w:rsid w:val="008025B7"/>
    <w:rsid w:val="00802C5D"/>
    <w:rsid w:val="008034DB"/>
    <w:rsid w:val="00807D72"/>
    <w:rsid w:val="0081028A"/>
    <w:rsid w:val="0081292A"/>
    <w:rsid w:val="00812B33"/>
    <w:rsid w:val="00820E1D"/>
    <w:rsid w:val="00820F5A"/>
    <w:rsid w:val="00821121"/>
    <w:rsid w:val="00821A19"/>
    <w:rsid w:val="00824C37"/>
    <w:rsid w:val="00825BB1"/>
    <w:rsid w:val="00825F06"/>
    <w:rsid w:val="00826E1F"/>
    <w:rsid w:val="00827794"/>
    <w:rsid w:val="00832660"/>
    <w:rsid w:val="008343E3"/>
    <w:rsid w:val="008359E6"/>
    <w:rsid w:val="00836CCE"/>
    <w:rsid w:val="00840FA1"/>
    <w:rsid w:val="008415B8"/>
    <w:rsid w:val="00841C95"/>
    <w:rsid w:val="0084207A"/>
    <w:rsid w:val="00844D89"/>
    <w:rsid w:val="00844E63"/>
    <w:rsid w:val="008474F6"/>
    <w:rsid w:val="0085207E"/>
    <w:rsid w:val="0085352E"/>
    <w:rsid w:val="00854A96"/>
    <w:rsid w:val="00855C2F"/>
    <w:rsid w:val="00855F6B"/>
    <w:rsid w:val="008569EB"/>
    <w:rsid w:val="00864E71"/>
    <w:rsid w:val="008761AE"/>
    <w:rsid w:val="00876670"/>
    <w:rsid w:val="00880D33"/>
    <w:rsid w:val="00881582"/>
    <w:rsid w:val="00881CA7"/>
    <w:rsid w:val="00886799"/>
    <w:rsid w:val="00891A35"/>
    <w:rsid w:val="00891BAC"/>
    <w:rsid w:val="00892ED3"/>
    <w:rsid w:val="0089365A"/>
    <w:rsid w:val="008A178C"/>
    <w:rsid w:val="008A3066"/>
    <w:rsid w:val="008A55FC"/>
    <w:rsid w:val="008A5B8F"/>
    <w:rsid w:val="008B6968"/>
    <w:rsid w:val="008B71BD"/>
    <w:rsid w:val="008C006E"/>
    <w:rsid w:val="008C314E"/>
    <w:rsid w:val="008D1180"/>
    <w:rsid w:val="008D1A0C"/>
    <w:rsid w:val="008D1A80"/>
    <w:rsid w:val="008D2903"/>
    <w:rsid w:val="008D6DC1"/>
    <w:rsid w:val="008E1161"/>
    <w:rsid w:val="008E5D12"/>
    <w:rsid w:val="008E5FEA"/>
    <w:rsid w:val="008E6743"/>
    <w:rsid w:val="008F3D10"/>
    <w:rsid w:val="008F4524"/>
    <w:rsid w:val="008F5CC7"/>
    <w:rsid w:val="00900826"/>
    <w:rsid w:val="00902D72"/>
    <w:rsid w:val="00910799"/>
    <w:rsid w:val="00910AF6"/>
    <w:rsid w:val="00912F63"/>
    <w:rsid w:val="009130D7"/>
    <w:rsid w:val="0091558D"/>
    <w:rsid w:val="0091737D"/>
    <w:rsid w:val="00921A39"/>
    <w:rsid w:val="009248C3"/>
    <w:rsid w:val="00925876"/>
    <w:rsid w:val="00927647"/>
    <w:rsid w:val="0093134F"/>
    <w:rsid w:val="00932F1B"/>
    <w:rsid w:val="00934164"/>
    <w:rsid w:val="0093627E"/>
    <w:rsid w:val="00936D64"/>
    <w:rsid w:val="0094346E"/>
    <w:rsid w:val="00944ED5"/>
    <w:rsid w:val="00947155"/>
    <w:rsid w:val="009525FA"/>
    <w:rsid w:val="00954D58"/>
    <w:rsid w:val="00955B40"/>
    <w:rsid w:val="00957BB7"/>
    <w:rsid w:val="0096127B"/>
    <w:rsid w:val="009613E9"/>
    <w:rsid w:val="00961A4F"/>
    <w:rsid w:val="00972529"/>
    <w:rsid w:val="00972E5B"/>
    <w:rsid w:val="0097496A"/>
    <w:rsid w:val="009756C9"/>
    <w:rsid w:val="00976469"/>
    <w:rsid w:val="00991688"/>
    <w:rsid w:val="0099224C"/>
    <w:rsid w:val="0099256D"/>
    <w:rsid w:val="009A1D32"/>
    <w:rsid w:val="009A3155"/>
    <w:rsid w:val="009A3A3A"/>
    <w:rsid w:val="009A6A40"/>
    <w:rsid w:val="009B1010"/>
    <w:rsid w:val="009B4016"/>
    <w:rsid w:val="009B57FC"/>
    <w:rsid w:val="009B7E5F"/>
    <w:rsid w:val="009C489D"/>
    <w:rsid w:val="009C58FD"/>
    <w:rsid w:val="009D384D"/>
    <w:rsid w:val="009D3993"/>
    <w:rsid w:val="009D54A8"/>
    <w:rsid w:val="009D7DE5"/>
    <w:rsid w:val="009E4135"/>
    <w:rsid w:val="009E4227"/>
    <w:rsid w:val="009E43B3"/>
    <w:rsid w:val="009E4481"/>
    <w:rsid w:val="009E5171"/>
    <w:rsid w:val="009F20A0"/>
    <w:rsid w:val="009F21B2"/>
    <w:rsid w:val="009F2F80"/>
    <w:rsid w:val="009F2FD3"/>
    <w:rsid w:val="009F71E2"/>
    <w:rsid w:val="009F72EF"/>
    <w:rsid w:val="00A03007"/>
    <w:rsid w:val="00A13A44"/>
    <w:rsid w:val="00A3029C"/>
    <w:rsid w:val="00A30923"/>
    <w:rsid w:val="00A40129"/>
    <w:rsid w:val="00A40A64"/>
    <w:rsid w:val="00A42F43"/>
    <w:rsid w:val="00A4358B"/>
    <w:rsid w:val="00A470BB"/>
    <w:rsid w:val="00A50DE4"/>
    <w:rsid w:val="00A51E67"/>
    <w:rsid w:val="00A535BD"/>
    <w:rsid w:val="00A53E24"/>
    <w:rsid w:val="00A53E6D"/>
    <w:rsid w:val="00A611A2"/>
    <w:rsid w:val="00A6736E"/>
    <w:rsid w:val="00A708CC"/>
    <w:rsid w:val="00A70B0C"/>
    <w:rsid w:val="00A712F8"/>
    <w:rsid w:val="00A7660C"/>
    <w:rsid w:val="00A77A4C"/>
    <w:rsid w:val="00A77E22"/>
    <w:rsid w:val="00A814FC"/>
    <w:rsid w:val="00A82603"/>
    <w:rsid w:val="00A832CA"/>
    <w:rsid w:val="00A8424D"/>
    <w:rsid w:val="00A87F00"/>
    <w:rsid w:val="00A90119"/>
    <w:rsid w:val="00A9397E"/>
    <w:rsid w:val="00AB00FF"/>
    <w:rsid w:val="00AB58A4"/>
    <w:rsid w:val="00AB6E4F"/>
    <w:rsid w:val="00AC27B9"/>
    <w:rsid w:val="00AC6763"/>
    <w:rsid w:val="00AC769D"/>
    <w:rsid w:val="00AD163A"/>
    <w:rsid w:val="00AD236B"/>
    <w:rsid w:val="00AD240B"/>
    <w:rsid w:val="00AD6877"/>
    <w:rsid w:val="00AE3319"/>
    <w:rsid w:val="00AF0EFE"/>
    <w:rsid w:val="00AF63D8"/>
    <w:rsid w:val="00B01EC4"/>
    <w:rsid w:val="00B03FFF"/>
    <w:rsid w:val="00B05303"/>
    <w:rsid w:val="00B05E03"/>
    <w:rsid w:val="00B127A5"/>
    <w:rsid w:val="00B14698"/>
    <w:rsid w:val="00B16E63"/>
    <w:rsid w:val="00B20247"/>
    <w:rsid w:val="00B239BB"/>
    <w:rsid w:val="00B24ED7"/>
    <w:rsid w:val="00B26344"/>
    <w:rsid w:val="00B26D85"/>
    <w:rsid w:val="00B26FE7"/>
    <w:rsid w:val="00B30870"/>
    <w:rsid w:val="00B30D5B"/>
    <w:rsid w:val="00B316CA"/>
    <w:rsid w:val="00B329F9"/>
    <w:rsid w:val="00B33D68"/>
    <w:rsid w:val="00B3662E"/>
    <w:rsid w:val="00B37FEC"/>
    <w:rsid w:val="00B404E0"/>
    <w:rsid w:val="00B410DB"/>
    <w:rsid w:val="00B4181D"/>
    <w:rsid w:val="00B4205D"/>
    <w:rsid w:val="00B42DB1"/>
    <w:rsid w:val="00B52A67"/>
    <w:rsid w:val="00B5453F"/>
    <w:rsid w:val="00B56F94"/>
    <w:rsid w:val="00B57A23"/>
    <w:rsid w:val="00B621BA"/>
    <w:rsid w:val="00B646D1"/>
    <w:rsid w:val="00B647F9"/>
    <w:rsid w:val="00B6514F"/>
    <w:rsid w:val="00B66D3A"/>
    <w:rsid w:val="00B70C61"/>
    <w:rsid w:val="00B71486"/>
    <w:rsid w:val="00B75A28"/>
    <w:rsid w:val="00B81055"/>
    <w:rsid w:val="00B90714"/>
    <w:rsid w:val="00B9211A"/>
    <w:rsid w:val="00B9395F"/>
    <w:rsid w:val="00B93B8C"/>
    <w:rsid w:val="00BA0EB2"/>
    <w:rsid w:val="00BA1AEC"/>
    <w:rsid w:val="00BA3A5B"/>
    <w:rsid w:val="00BA42DB"/>
    <w:rsid w:val="00BA47CF"/>
    <w:rsid w:val="00BA489F"/>
    <w:rsid w:val="00BA511B"/>
    <w:rsid w:val="00BA5640"/>
    <w:rsid w:val="00BA6B48"/>
    <w:rsid w:val="00BA6FBF"/>
    <w:rsid w:val="00BB0530"/>
    <w:rsid w:val="00BB1292"/>
    <w:rsid w:val="00BB3065"/>
    <w:rsid w:val="00BB785D"/>
    <w:rsid w:val="00BC2230"/>
    <w:rsid w:val="00BC5583"/>
    <w:rsid w:val="00BC5B6A"/>
    <w:rsid w:val="00BD32A1"/>
    <w:rsid w:val="00BD35CB"/>
    <w:rsid w:val="00BD6AFA"/>
    <w:rsid w:val="00BD76BE"/>
    <w:rsid w:val="00BE351A"/>
    <w:rsid w:val="00BE3787"/>
    <w:rsid w:val="00BE65C8"/>
    <w:rsid w:val="00BE6D2A"/>
    <w:rsid w:val="00BF24CD"/>
    <w:rsid w:val="00BF6D6C"/>
    <w:rsid w:val="00BF6FEA"/>
    <w:rsid w:val="00BF7338"/>
    <w:rsid w:val="00C00002"/>
    <w:rsid w:val="00C02E43"/>
    <w:rsid w:val="00C046C0"/>
    <w:rsid w:val="00C07630"/>
    <w:rsid w:val="00C07F98"/>
    <w:rsid w:val="00C15B67"/>
    <w:rsid w:val="00C167D7"/>
    <w:rsid w:val="00C20A48"/>
    <w:rsid w:val="00C21F3A"/>
    <w:rsid w:val="00C26706"/>
    <w:rsid w:val="00C3029D"/>
    <w:rsid w:val="00C31605"/>
    <w:rsid w:val="00C414E5"/>
    <w:rsid w:val="00C4227B"/>
    <w:rsid w:val="00C43BE0"/>
    <w:rsid w:val="00C4481B"/>
    <w:rsid w:val="00C450DC"/>
    <w:rsid w:val="00C525AC"/>
    <w:rsid w:val="00C538A7"/>
    <w:rsid w:val="00C61C61"/>
    <w:rsid w:val="00C636F7"/>
    <w:rsid w:val="00C6712B"/>
    <w:rsid w:val="00C71A17"/>
    <w:rsid w:val="00C75874"/>
    <w:rsid w:val="00C80028"/>
    <w:rsid w:val="00C817B1"/>
    <w:rsid w:val="00C828AF"/>
    <w:rsid w:val="00C873C8"/>
    <w:rsid w:val="00C93D91"/>
    <w:rsid w:val="00C95461"/>
    <w:rsid w:val="00C96BC5"/>
    <w:rsid w:val="00CA10EA"/>
    <w:rsid w:val="00CA1DD8"/>
    <w:rsid w:val="00CA6753"/>
    <w:rsid w:val="00CA798F"/>
    <w:rsid w:val="00CB3070"/>
    <w:rsid w:val="00CB37D8"/>
    <w:rsid w:val="00CC003B"/>
    <w:rsid w:val="00CC7BEE"/>
    <w:rsid w:val="00CC7C73"/>
    <w:rsid w:val="00CD4559"/>
    <w:rsid w:val="00CD5E88"/>
    <w:rsid w:val="00CD6B70"/>
    <w:rsid w:val="00CE4DF6"/>
    <w:rsid w:val="00CE652B"/>
    <w:rsid w:val="00CE7DA1"/>
    <w:rsid w:val="00CF0DB0"/>
    <w:rsid w:val="00CF22BD"/>
    <w:rsid w:val="00D009D2"/>
    <w:rsid w:val="00D037F9"/>
    <w:rsid w:val="00D03E0C"/>
    <w:rsid w:val="00D040CC"/>
    <w:rsid w:val="00D04A62"/>
    <w:rsid w:val="00D054F0"/>
    <w:rsid w:val="00D05F68"/>
    <w:rsid w:val="00D06AD0"/>
    <w:rsid w:val="00D10C8E"/>
    <w:rsid w:val="00D12D66"/>
    <w:rsid w:val="00D1457C"/>
    <w:rsid w:val="00D161A2"/>
    <w:rsid w:val="00D240F9"/>
    <w:rsid w:val="00D2412A"/>
    <w:rsid w:val="00D262AC"/>
    <w:rsid w:val="00D310E5"/>
    <w:rsid w:val="00D32079"/>
    <w:rsid w:val="00D36BCA"/>
    <w:rsid w:val="00D36E4C"/>
    <w:rsid w:val="00D40F0C"/>
    <w:rsid w:val="00D50A91"/>
    <w:rsid w:val="00D50FED"/>
    <w:rsid w:val="00D5270C"/>
    <w:rsid w:val="00D56CC2"/>
    <w:rsid w:val="00D602C6"/>
    <w:rsid w:val="00D645D8"/>
    <w:rsid w:val="00D646EF"/>
    <w:rsid w:val="00D649B7"/>
    <w:rsid w:val="00D7044F"/>
    <w:rsid w:val="00D70585"/>
    <w:rsid w:val="00D715C5"/>
    <w:rsid w:val="00D71F22"/>
    <w:rsid w:val="00D73E4F"/>
    <w:rsid w:val="00D74DC3"/>
    <w:rsid w:val="00D80215"/>
    <w:rsid w:val="00D81493"/>
    <w:rsid w:val="00D81FCE"/>
    <w:rsid w:val="00D8245F"/>
    <w:rsid w:val="00D857AF"/>
    <w:rsid w:val="00D86650"/>
    <w:rsid w:val="00D91220"/>
    <w:rsid w:val="00D92926"/>
    <w:rsid w:val="00D954B7"/>
    <w:rsid w:val="00D96C88"/>
    <w:rsid w:val="00DA5BF2"/>
    <w:rsid w:val="00DB29F3"/>
    <w:rsid w:val="00DC4ECC"/>
    <w:rsid w:val="00DC68D5"/>
    <w:rsid w:val="00DD65AF"/>
    <w:rsid w:val="00DD778E"/>
    <w:rsid w:val="00DE05F9"/>
    <w:rsid w:val="00DE1FCF"/>
    <w:rsid w:val="00DE3488"/>
    <w:rsid w:val="00DE66EA"/>
    <w:rsid w:val="00DF24F5"/>
    <w:rsid w:val="00DF4A67"/>
    <w:rsid w:val="00DF659B"/>
    <w:rsid w:val="00DF76D8"/>
    <w:rsid w:val="00DF78E5"/>
    <w:rsid w:val="00E001BA"/>
    <w:rsid w:val="00E00939"/>
    <w:rsid w:val="00E03854"/>
    <w:rsid w:val="00E06E04"/>
    <w:rsid w:val="00E13A37"/>
    <w:rsid w:val="00E1431A"/>
    <w:rsid w:val="00E1493C"/>
    <w:rsid w:val="00E162AE"/>
    <w:rsid w:val="00E22DF2"/>
    <w:rsid w:val="00E2698D"/>
    <w:rsid w:val="00E31F11"/>
    <w:rsid w:val="00E326F7"/>
    <w:rsid w:val="00E33542"/>
    <w:rsid w:val="00E3398E"/>
    <w:rsid w:val="00E33C50"/>
    <w:rsid w:val="00E36032"/>
    <w:rsid w:val="00E365C3"/>
    <w:rsid w:val="00E36699"/>
    <w:rsid w:val="00E40E5B"/>
    <w:rsid w:val="00E42ED5"/>
    <w:rsid w:val="00E46A40"/>
    <w:rsid w:val="00E506FC"/>
    <w:rsid w:val="00E51BF0"/>
    <w:rsid w:val="00E52F89"/>
    <w:rsid w:val="00E552A8"/>
    <w:rsid w:val="00E57FA3"/>
    <w:rsid w:val="00E61A69"/>
    <w:rsid w:val="00E61E70"/>
    <w:rsid w:val="00E628B3"/>
    <w:rsid w:val="00E63717"/>
    <w:rsid w:val="00E65165"/>
    <w:rsid w:val="00E66613"/>
    <w:rsid w:val="00E71756"/>
    <w:rsid w:val="00E738D7"/>
    <w:rsid w:val="00E749F5"/>
    <w:rsid w:val="00E80333"/>
    <w:rsid w:val="00E80A99"/>
    <w:rsid w:val="00E81270"/>
    <w:rsid w:val="00E812B0"/>
    <w:rsid w:val="00E83048"/>
    <w:rsid w:val="00E8481C"/>
    <w:rsid w:val="00E857D6"/>
    <w:rsid w:val="00E8682F"/>
    <w:rsid w:val="00E909D8"/>
    <w:rsid w:val="00E90F75"/>
    <w:rsid w:val="00E92E09"/>
    <w:rsid w:val="00E93399"/>
    <w:rsid w:val="00E94C20"/>
    <w:rsid w:val="00E968B6"/>
    <w:rsid w:val="00EA2DB0"/>
    <w:rsid w:val="00EA7A37"/>
    <w:rsid w:val="00EB0D6E"/>
    <w:rsid w:val="00EB1A8D"/>
    <w:rsid w:val="00EB3C76"/>
    <w:rsid w:val="00EB500D"/>
    <w:rsid w:val="00EB6976"/>
    <w:rsid w:val="00EC32BB"/>
    <w:rsid w:val="00EC4E90"/>
    <w:rsid w:val="00EC57E9"/>
    <w:rsid w:val="00EC621D"/>
    <w:rsid w:val="00EC7832"/>
    <w:rsid w:val="00ED06B3"/>
    <w:rsid w:val="00ED0F13"/>
    <w:rsid w:val="00ED15E5"/>
    <w:rsid w:val="00ED2299"/>
    <w:rsid w:val="00ED4F6C"/>
    <w:rsid w:val="00ED5557"/>
    <w:rsid w:val="00EE06E7"/>
    <w:rsid w:val="00EE1135"/>
    <w:rsid w:val="00EE2A8E"/>
    <w:rsid w:val="00EE588B"/>
    <w:rsid w:val="00EF1479"/>
    <w:rsid w:val="00EF5269"/>
    <w:rsid w:val="00EF61DB"/>
    <w:rsid w:val="00EF6CA6"/>
    <w:rsid w:val="00F00AA1"/>
    <w:rsid w:val="00F05ABC"/>
    <w:rsid w:val="00F06DA3"/>
    <w:rsid w:val="00F1142F"/>
    <w:rsid w:val="00F12839"/>
    <w:rsid w:val="00F20CC3"/>
    <w:rsid w:val="00F21106"/>
    <w:rsid w:val="00F311C5"/>
    <w:rsid w:val="00F31F6F"/>
    <w:rsid w:val="00F34238"/>
    <w:rsid w:val="00F364B3"/>
    <w:rsid w:val="00F37668"/>
    <w:rsid w:val="00F400D7"/>
    <w:rsid w:val="00F42DBA"/>
    <w:rsid w:val="00F4302A"/>
    <w:rsid w:val="00F43A7B"/>
    <w:rsid w:val="00F45675"/>
    <w:rsid w:val="00F46769"/>
    <w:rsid w:val="00F47CDD"/>
    <w:rsid w:val="00F52835"/>
    <w:rsid w:val="00F52A33"/>
    <w:rsid w:val="00F54057"/>
    <w:rsid w:val="00F557CC"/>
    <w:rsid w:val="00F61ADB"/>
    <w:rsid w:val="00F67D71"/>
    <w:rsid w:val="00F73974"/>
    <w:rsid w:val="00F73E4A"/>
    <w:rsid w:val="00F74950"/>
    <w:rsid w:val="00F81971"/>
    <w:rsid w:val="00F82665"/>
    <w:rsid w:val="00F83948"/>
    <w:rsid w:val="00F86A6C"/>
    <w:rsid w:val="00F87E24"/>
    <w:rsid w:val="00F911DF"/>
    <w:rsid w:val="00F92209"/>
    <w:rsid w:val="00F926BB"/>
    <w:rsid w:val="00F9354F"/>
    <w:rsid w:val="00FA2D3C"/>
    <w:rsid w:val="00FA53D6"/>
    <w:rsid w:val="00FB0738"/>
    <w:rsid w:val="00FB198A"/>
    <w:rsid w:val="00FB3F54"/>
    <w:rsid w:val="00FB4B04"/>
    <w:rsid w:val="00FB69E2"/>
    <w:rsid w:val="00FB7D35"/>
    <w:rsid w:val="00FD4791"/>
    <w:rsid w:val="00FD4CB1"/>
    <w:rsid w:val="00FD7CB2"/>
    <w:rsid w:val="00FE224D"/>
    <w:rsid w:val="00FE2475"/>
    <w:rsid w:val="00FE3962"/>
    <w:rsid w:val="00FE78F9"/>
    <w:rsid w:val="00FE7D43"/>
    <w:rsid w:val="00FF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56A4D7"/>
  <w15:docId w15:val="{0BEFA645-015D-42A9-A418-203383C8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17C83"/>
    <w:pPr>
      <w:widowControl w:val="0"/>
      <w:autoSpaceDE w:val="0"/>
      <w:autoSpaceDN w:val="0"/>
      <w:adjustRightInd w:val="0"/>
      <w:spacing w:after="0" w:line="240" w:lineRule="auto"/>
    </w:pPr>
    <w:rPr>
      <w:rFonts w:ascii="Arial" w:hAnsi="Arial" w:cs="Times New Roman"/>
      <w:szCs w:val="24"/>
    </w:rPr>
  </w:style>
  <w:style w:type="paragraph" w:styleId="Heading1">
    <w:name w:val="heading 1"/>
    <w:basedOn w:val="Normal"/>
    <w:next w:val="Normal"/>
    <w:link w:val="Heading1Char"/>
    <w:qFormat/>
    <w:rsid w:val="00077B1D"/>
    <w:pPr>
      <w:keepNext/>
      <w:keepLines/>
      <w:widowControl/>
      <w:overflowPunct w:val="0"/>
      <w:spacing w:before="360" w:after="120"/>
      <w:textAlignment w:val="baseline"/>
      <w:outlineLvl w:val="0"/>
    </w:pPr>
    <w:rPr>
      <w:rFonts w:eastAsia="Times New Roman"/>
      <w:b/>
      <w:b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53B3"/>
    <w:pPr>
      <w:kinsoku w:val="0"/>
      <w:overflowPunct w:val="0"/>
    </w:pPr>
  </w:style>
  <w:style w:type="character" w:customStyle="1" w:styleId="BodyTextChar">
    <w:name w:val="Body Text Char"/>
    <w:basedOn w:val="DefaultParagraphFont"/>
    <w:link w:val="BodyText"/>
    <w:uiPriority w:val="1"/>
    <w:rsid w:val="007953B3"/>
    <w:rPr>
      <w:rFonts w:ascii="Times New Roman" w:hAnsi="Times New Roman" w:cs="Times New Roman"/>
      <w:sz w:val="24"/>
      <w:szCs w:val="24"/>
    </w:rPr>
  </w:style>
  <w:style w:type="paragraph" w:styleId="ListParagraph">
    <w:name w:val="List Paragraph"/>
    <w:basedOn w:val="Normal"/>
    <w:link w:val="ListParagraphChar"/>
    <w:uiPriority w:val="34"/>
    <w:qFormat/>
    <w:rsid w:val="005C557A"/>
    <w:pPr>
      <w:numPr>
        <w:numId w:val="12"/>
      </w:numPr>
      <w:spacing w:after="200"/>
    </w:pPr>
  </w:style>
  <w:style w:type="paragraph" w:customStyle="1" w:styleId="TableParagraph">
    <w:name w:val="Table Paragraph"/>
    <w:basedOn w:val="Normal"/>
    <w:uiPriority w:val="1"/>
    <w:qFormat/>
    <w:rsid w:val="00934164"/>
    <w:pPr>
      <w:keepNext/>
    </w:pPr>
  </w:style>
  <w:style w:type="paragraph" w:styleId="Header">
    <w:name w:val="header"/>
    <w:basedOn w:val="Normal"/>
    <w:link w:val="HeaderChar"/>
    <w:uiPriority w:val="99"/>
    <w:unhideWhenUsed/>
    <w:rsid w:val="004B1DF0"/>
    <w:pPr>
      <w:tabs>
        <w:tab w:val="center" w:pos="4680"/>
        <w:tab w:val="right" w:pos="9360"/>
      </w:tabs>
    </w:pPr>
  </w:style>
  <w:style w:type="character" w:customStyle="1" w:styleId="HeaderChar">
    <w:name w:val="Header Char"/>
    <w:basedOn w:val="DefaultParagraphFont"/>
    <w:link w:val="Header"/>
    <w:uiPriority w:val="99"/>
    <w:rsid w:val="004B1DF0"/>
    <w:rPr>
      <w:rFonts w:ascii="Times New Roman" w:hAnsi="Times New Roman" w:cs="Times New Roman"/>
      <w:sz w:val="24"/>
      <w:szCs w:val="24"/>
    </w:rPr>
  </w:style>
  <w:style w:type="paragraph" w:styleId="Footer">
    <w:name w:val="footer"/>
    <w:basedOn w:val="Normal"/>
    <w:link w:val="FooterChar"/>
    <w:uiPriority w:val="99"/>
    <w:unhideWhenUsed/>
    <w:rsid w:val="004B1DF0"/>
    <w:pPr>
      <w:tabs>
        <w:tab w:val="center" w:pos="4680"/>
        <w:tab w:val="right" w:pos="9360"/>
      </w:tabs>
    </w:pPr>
  </w:style>
  <w:style w:type="character" w:customStyle="1" w:styleId="FooterChar">
    <w:name w:val="Footer Char"/>
    <w:basedOn w:val="DefaultParagraphFont"/>
    <w:link w:val="Footer"/>
    <w:uiPriority w:val="99"/>
    <w:rsid w:val="004B1DF0"/>
    <w:rPr>
      <w:rFonts w:ascii="Times New Roman" w:hAnsi="Times New Roman" w:cs="Times New Roman"/>
      <w:sz w:val="24"/>
      <w:szCs w:val="24"/>
    </w:rPr>
  </w:style>
  <w:style w:type="character" w:customStyle="1" w:styleId="Heading1Char">
    <w:name w:val="Heading 1 Char"/>
    <w:basedOn w:val="DefaultParagraphFont"/>
    <w:link w:val="Heading1"/>
    <w:rsid w:val="00077B1D"/>
    <w:rPr>
      <w:rFonts w:ascii="Times New Roman" w:eastAsia="Times New Roman" w:hAnsi="Times New Roman" w:cs="Times New Roman"/>
      <w:b/>
      <w:bCs/>
      <w:smallCaps/>
      <w:sz w:val="28"/>
      <w:szCs w:val="28"/>
    </w:rPr>
  </w:style>
  <w:style w:type="paragraph" w:customStyle="1" w:styleId="Default">
    <w:name w:val="Default"/>
    <w:rsid w:val="00BF6D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StyleBulletedSymbolsymbolLeft0Hanging025">
    <w:name w:val="Style Bulleted Symbol (symbol) Left:  0&quot; Hanging:  0.25&quot;"/>
    <w:basedOn w:val="NoList"/>
    <w:rsid w:val="00BF6D6C"/>
    <w:pPr>
      <w:numPr>
        <w:numId w:val="7"/>
      </w:numPr>
    </w:pPr>
  </w:style>
  <w:style w:type="paragraph" w:styleId="BalloonText">
    <w:name w:val="Balloon Text"/>
    <w:basedOn w:val="Normal"/>
    <w:link w:val="BalloonTextChar"/>
    <w:uiPriority w:val="99"/>
    <w:semiHidden/>
    <w:unhideWhenUsed/>
    <w:rsid w:val="00EF52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269"/>
    <w:rPr>
      <w:rFonts w:ascii="Segoe UI" w:hAnsi="Segoe UI" w:cs="Segoe UI"/>
      <w:sz w:val="18"/>
      <w:szCs w:val="18"/>
    </w:rPr>
  </w:style>
  <w:style w:type="table" w:styleId="TableGrid">
    <w:name w:val="Table Grid"/>
    <w:basedOn w:val="TableNormal"/>
    <w:uiPriority w:val="59"/>
    <w:rsid w:val="00F3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link w:val="BulletChar"/>
    <w:uiPriority w:val="1"/>
    <w:qFormat/>
    <w:rsid w:val="00F911DF"/>
    <w:pPr>
      <w:widowControl/>
      <w:numPr>
        <w:numId w:val="0"/>
      </w:numPr>
    </w:pPr>
  </w:style>
  <w:style w:type="paragraph" w:customStyle="1" w:styleId="SubBullet">
    <w:name w:val="SubBullet"/>
    <w:basedOn w:val="BodyText"/>
    <w:link w:val="SubBulletChar"/>
    <w:uiPriority w:val="1"/>
    <w:qFormat/>
    <w:rsid w:val="00F911DF"/>
    <w:pPr>
      <w:spacing w:after="200"/>
      <w:contextualSpacing/>
    </w:pPr>
  </w:style>
  <w:style w:type="character" w:customStyle="1" w:styleId="ListParagraphChar">
    <w:name w:val="List Paragraph Char"/>
    <w:basedOn w:val="DefaultParagraphFont"/>
    <w:link w:val="ListParagraph"/>
    <w:uiPriority w:val="34"/>
    <w:rsid w:val="00077B1D"/>
    <w:rPr>
      <w:rFonts w:ascii="Times New Roman" w:hAnsi="Times New Roman" w:cs="Times New Roman"/>
      <w:sz w:val="24"/>
      <w:szCs w:val="24"/>
    </w:rPr>
  </w:style>
  <w:style w:type="character" w:customStyle="1" w:styleId="BulletChar">
    <w:name w:val="Bullet Char"/>
    <w:basedOn w:val="ListParagraphChar"/>
    <w:link w:val="Bullet"/>
    <w:uiPriority w:val="1"/>
    <w:rsid w:val="00F911DF"/>
    <w:rPr>
      <w:rFonts w:ascii="Times New Roman" w:hAnsi="Times New Roman" w:cs="Times New Roman"/>
      <w:sz w:val="24"/>
      <w:szCs w:val="24"/>
    </w:rPr>
  </w:style>
  <w:style w:type="character" w:customStyle="1" w:styleId="SubBulletChar">
    <w:name w:val="SubBullet Char"/>
    <w:basedOn w:val="BodyTextChar"/>
    <w:link w:val="SubBullet"/>
    <w:uiPriority w:val="1"/>
    <w:rsid w:val="00F911DF"/>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E2471"/>
    <w:rPr>
      <w:sz w:val="16"/>
      <w:szCs w:val="16"/>
    </w:rPr>
  </w:style>
  <w:style w:type="paragraph" w:styleId="CommentText">
    <w:name w:val="annotation text"/>
    <w:basedOn w:val="Normal"/>
    <w:link w:val="CommentTextChar"/>
    <w:uiPriority w:val="99"/>
    <w:semiHidden/>
    <w:unhideWhenUsed/>
    <w:rsid w:val="002E2471"/>
    <w:rPr>
      <w:sz w:val="20"/>
      <w:szCs w:val="20"/>
    </w:rPr>
  </w:style>
  <w:style w:type="character" w:customStyle="1" w:styleId="CommentTextChar">
    <w:name w:val="Comment Text Char"/>
    <w:basedOn w:val="DefaultParagraphFont"/>
    <w:link w:val="CommentText"/>
    <w:uiPriority w:val="99"/>
    <w:semiHidden/>
    <w:rsid w:val="002E247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2471"/>
    <w:rPr>
      <w:b/>
      <w:bCs/>
    </w:rPr>
  </w:style>
  <w:style w:type="character" w:customStyle="1" w:styleId="CommentSubjectChar">
    <w:name w:val="Comment Subject Char"/>
    <w:basedOn w:val="CommentTextChar"/>
    <w:link w:val="CommentSubject"/>
    <w:uiPriority w:val="99"/>
    <w:semiHidden/>
    <w:rsid w:val="002E2471"/>
    <w:rPr>
      <w:rFonts w:ascii="Times New Roman" w:hAnsi="Times New Roman" w:cs="Times New Roman"/>
      <w:b/>
      <w:bCs/>
      <w:sz w:val="20"/>
      <w:szCs w:val="20"/>
    </w:rPr>
  </w:style>
  <w:style w:type="character" w:styleId="Hyperlink">
    <w:name w:val="Hyperlink"/>
    <w:basedOn w:val="DefaultParagraphFont"/>
    <w:uiPriority w:val="99"/>
    <w:unhideWhenUsed/>
    <w:rsid w:val="0025717B"/>
    <w:rPr>
      <w:color w:val="0000FF" w:themeColor="hyperlink"/>
      <w:u w:val="single"/>
    </w:rPr>
  </w:style>
  <w:style w:type="character" w:styleId="FollowedHyperlink">
    <w:name w:val="FollowedHyperlink"/>
    <w:basedOn w:val="DefaultParagraphFont"/>
    <w:uiPriority w:val="99"/>
    <w:semiHidden/>
    <w:unhideWhenUsed/>
    <w:rsid w:val="00991688"/>
    <w:rPr>
      <w:color w:val="800080" w:themeColor="followedHyperlink"/>
      <w:u w:val="single"/>
    </w:rPr>
  </w:style>
  <w:style w:type="paragraph" w:styleId="NormalWeb">
    <w:name w:val="Normal (Web)"/>
    <w:basedOn w:val="Normal"/>
    <w:uiPriority w:val="99"/>
    <w:semiHidden/>
    <w:unhideWhenUsed/>
    <w:rsid w:val="00925876"/>
    <w:pPr>
      <w:widowControl/>
      <w:autoSpaceDE/>
      <w:autoSpaceDN/>
      <w:adjustRightInd/>
      <w:spacing w:before="100" w:beforeAutospacing="1" w:after="100" w:afterAutospacing="1"/>
    </w:pPr>
    <w:rPr>
      <w:rFonts w:eastAsia="Times New Roman"/>
    </w:rPr>
  </w:style>
  <w:style w:type="paragraph" w:styleId="NoSpacing">
    <w:name w:val="No Spacing"/>
    <w:uiPriority w:val="1"/>
    <w:qFormat/>
    <w:rsid w:val="000057A0"/>
    <w:pPr>
      <w:widowControl w:val="0"/>
      <w:autoSpaceDE w:val="0"/>
      <w:autoSpaceDN w:val="0"/>
      <w:adjustRightInd w:val="0"/>
      <w:spacing w:after="0" w:line="240" w:lineRule="auto"/>
    </w:pPr>
    <w:rPr>
      <w:rFonts w:ascii="Times New Roman" w:hAnsi="Times New Roman" w:cs="Times New Roman"/>
      <w:sz w:val="24"/>
      <w:szCs w:val="24"/>
    </w:rPr>
  </w:style>
  <w:style w:type="paragraph" w:styleId="Revision">
    <w:name w:val="Revision"/>
    <w:hidden/>
    <w:uiPriority w:val="99"/>
    <w:semiHidden/>
    <w:rsid w:val="00BE6D2A"/>
    <w:pPr>
      <w:spacing w:after="0" w:line="240" w:lineRule="auto"/>
    </w:pPr>
    <w:rPr>
      <w:rFonts w:ascii="Times New Roman" w:hAnsi="Times New Roman" w:cs="Times New Roman"/>
      <w:sz w:val="24"/>
      <w:szCs w:val="24"/>
    </w:rPr>
  </w:style>
  <w:style w:type="paragraph" w:styleId="Caption">
    <w:name w:val="caption"/>
    <w:basedOn w:val="Normal"/>
    <w:next w:val="Normal"/>
    <w:uiPriority w:val="35"/>
    <w:unhideWhenUsed/>
    <w:qFormat/>
    <w:rsid w:val="009F20A0"/>
    <w:pPr>
      <w:spacing w:after="200"/>
    </w:pPr>
    <w:rPr>
      <w:i/>
      <w:iCs/>
      <w:color w:val="1F497D" w:themeColor="text2"/>
      <w:sz w:val="18"/>
      <w:szCs w:val="18"/>
    </w:rPr>
  </w:style>
  <w:style w:type="paragraph" w:styleId="Title">
    <w:name w:val="Title"/>
    <w:basedOn w:val="Normal"/>
    <w:next w:val="Normal"/>
    <w:link w:val="TitleChar"/>
    <w:uiPriority w:val="10"/>
    <w:qFormat/>
    <w:rsid w:val="00641B5E"/>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B5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7067">
      <w:bodyDiv w:val="1"/>
      <w:marLeft w:val="0"/>
      <w:marRight w:val="0"/>
      <w:marTop w:val="0"/>
      <w:marBottom w:val="0"/>
      <w:divBdr>
        <w:top w:val="none" w:sz="0" w:space="0" w:color="auto"/>
        <w:left w:val="none" w:sz="0" w:space="0" w:color="auto"/>
        <w:bottom w:val="none" w:sz="0" w:space="0" w:color="auto"/>
        <w:right w:val="none" w:sz="0" w:space="0" w:color="auto"/>
      </w:divBdr>
    </w:div>
    <w:div w:id="44303236">
      <w:bodyDiv w:val="1"/>
      <w:marLeft w:val="0"/>
      <w:marRight w:val="0"/>
      <w:marTop w:val="0"/>
      <w:marBottom w:val="0"/>
      <w:divBdr>
        <w:top w:val="none" w:sz="0" w:space="0" w:color="auto"/>
        <w:left w:val="none" w:sz="0" w:space="0" w:color="auto"/>
        <w:bottom w:val="none" w:sz="0" w:space="0" w:color="auto"/>
        <w:right w:val="none" w:sz="0" w:space="0" w:color="auto"/>
      </w:divBdr>
    </w:div>
    <w:div w:id="94987784">
      <w:bodyDiv w:val="1"/>
      <w:marLeft w:val="0"/>
      <w:marRight w:val="0"/>
      <w:marTop w:val="0"/>
      <w:marBottom w:val="0"/>
      <w:divBdr>
        <w:top w:val="none" w:sz="0" w:space="0" w:color="auto"/>
        <w:left w:val="none" w:sz="0" w:space="0" w:color="auto"/>
        <w:bottom w:val="none" w:sz="0" w:space="0" w:color="auto"/>
        <w:right w:val="none" w:sz="0" w:space="0" w:color="auto"/>
      </w:divBdr>
    </w:div>
    <w:div w:id="137694309">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556005">
      <w:bodyDiv w:val="1"/>
      <w:marLeft w:val="0"/>
      <w:marRight w:val="0"/>
      <w:marTop w:val="0"/>
      <w:marBottom w:val="0"/>
      <w:divBdr>
        <w:top w:val="none" w:sz="0" w:space="0" w:color="auto"/>
        <w:left w:val="none" w:sz="0" w:space="0" w:color="auto"/>
        <w:bottom w:val="none" w:sz="0" w:space="0" w:color="auto"/>
        <w:right w:val="none" w:sz="0" w:space="0" w:color="auto"/>
      </w:divBdr>
    </w:div>
    <w:div w:id="170923853">
      <w:bodyDiv w:val="1"/>
      <w:marLeft w:val="0"/>
      <w:marRight w:val="0"/>
      <w:marTop w:val="0"/>
      <w:marBottom w:val="0"/>
      <w:divBdr>
        <w:top w:val="none" w:sz="0" w:space="0" w:color="auto"/>
        <w:left w:val="none" w:sz="0" w:space="0" w:color="auto"/>
        <w:bottom w:val="none" w:sz="0" w:space="0" w:color="auto"/>
        <w:right w:val="none" w:sz="0" w:space="0" w:color="auto"/>
      </w:divBdr>
    </w:div>
    <w:div w:id="171536033">
      <w:bodyDiv w:val="1"/>
      <w:marLeft w:val="0"/>
      <w:marRight w:val="0"/>
      <w:marTop w:val="0"/>
      <w:marBottom w:val="0"/>
      <w:divBdr>
        <w:top w:val="none" w:sz="0" w:space="0" w:color="auto"/>
        <w:left w:val="none" w:sz="0" w:space="0" w:color="auto"/>
        <w:bottom w:val="none" w:sz="0" w:space="0" w:color="auto"/>
        <w:right w:val="none" w:sz="0" w:space="0" w:color="auto"/>
      </w:divBdr>
    </w:div>
    <w:div w:id="203055278">
      <w:bodyDiv w:val="1"/>
      <w:marLeft w:val="0"/>
      <w:marRight w:val="0"/>
      <w:marTop w:val="0"/>
      <w:marBottom w:val="0"/>
      <w:divBdr>
        <w:top w:val="none" w:sz="0" w:space="0" w:color="auto"/>
        <w:left w:val="none" w:sz="0" w:space="0" w:color="auto"/>
        <w:bottom w:val="none" w:sz="0" w:space="0" w:color="auto"/>
        <w:right w:val="none" w:sz="0" w:space="0" w:color="auto"/>
      </w:divBdr>
    </w:div>
    <w:div w:id="209391446">
      <w:bodyDiv w:val="1"/>
      <w:marLeft w:val="0"/>
      <w:marRight w:val="0"/>
      <w:marTop w:val="0"/>
      <w:marBottom w:val="0"/>
      <w:divBdr>
        <w:top w:val="none" w:sz="0" w:space="0" w:color="auto"/>
        <w:left w:val="none" w:sz="0" w:space="0" w:color="auto"/>
        <w:bottom w:val="none" w:sz="0" w:space="0" w:color="auto"/>
        <w:right w:val="none" w:sz="0" w:space="0" w:color="auto"/>
      </w:divBdr>
    </w:div>
    <w:div w:id="221912856">
      <w:bodyDiv w:val="1"/>
      <w:marLeft w:val="0"/>
      <w:marRight w:val="0"/>
      <w:marTop w:val="0"/>
      <w:marBottom w:val="0"/>
      <w:divBdr>
        <w:top w:val="none" w:sz="0" w:space="0" w:color="auto"/>
        <w:left w:val="none" w:sz="0" w:space="0" w:color="auto"/>
        <w:bottom w:val="none" w:sz="0" w:space="0" w:color="auto"/>
        <w:right w:val="none" w:sz="0" w:space="0" w:color="auto"/>
      </w:divBdr>
    </w:div>
    <w:div w:id="239559758">
      <w:bodyDiv w:val="1"/>
      <w:marLeft w:val="0"/>
      <w:marRight w:val="0"/>
      <w:marTop w:val="0"/>
      <w:marBottom w:val="0"/>
      <w:divBdr>
        <w:top w:val="none" w:sz="0" w:space="0" w:color="auto"/>
        <w:left w:val="none" w:sz="0" w:space="0" w:color="auto"/>
        <w:bottom w:val="none" w:sz="0" w:space="0" w:color="auto"/>
        <w:right w:val="none" w:sz="0" w:space="0" w:color="auto"/>
      </w:divBdr>
    </w:div>
    <w:div w:id="276374708">
      <w:bodyDiv w:val="1"/>
      <w:marLeft w:val="0"/>
      <w:marRight w:val="0"/>
      <w:marTop w:val="0"/>
      <w:marBottom w:val="0"/>
      <w:divBdr>
        <w:top w:val="none" w:sz="0" w:space="0" w:color="auto"/>
        <w:left w:val="none" w:sz="0" w:space="0" w:color="auto"/>
        <w:bottom w:val="none" w:sz="0" w:space="0" w:color="auto"/>
        <w:right w:val="none" w:sz="0" w:space="0" w:color="auto"/>
      </w:divBdr>
    </w:div>
    <w:div w:id="317878954">
      <w:bodyDiv w:val="1"/>
      <w:marLeft w:val="0"/>
      <w:marRight w:val="0"/>
      <w:marTop w:val="0"/>
      <w:marBottom w:val="0"/>
      <w:divBdr>
        <w:top w:val="none" w:sz="0" w:space="0" w:color="auto"/>
        <w:left w:val="none" w:sz="0" w:space="0" w:color="auto"/>
        <w:bottom w:val="none" w:sz="0" w:space="0" w:color="auto"/>
        <w:right w:val="none" w:sz="0" w:space="0" w:color="auto"/>
      </w:divBdr>
    </w:div>
    <w:div w:id="343825805">
      <w:bodyDiv w:val="1"/>
      <w:marLeft w:val="0"/>
      <w:marRight w:val="0"/>
      <w:marTop w:val="0"/>
      <w:marBottom w:val="0"/>
      <w:divBdr>
        <w:top w:val="none" w:sz="0" w:space="0" w:color="auto"/>
        <w:left w:val="none" w:sz="0" w:space="0" w:color="auto"/>
        <w:bottom w:val="none" w:sz="0" w:space="0" w:color="auto"/>
        <w:right w:val="none" w:sz="0" w:space="0" w:color="auto"/>
      </w:divBdr>
    </w:div>
    <w:div w:id="387579949">
      <w:bodyDiv w:val="1"/>
      <w:marLeft w:val="0"/>
      <w:marRight w:val="0"/>
      <w:marTop w:val="0"/>
      <w:marBottom w:val="0"/>
      <w:divBdr>
        <w:top w:val="none" w:sz="0" w:space="0" w:color="auto"/>
        <w:left w:val="none" w:sz="0" w:space="0" w:color="auto"/>
        <w:bottom w:val="none" w:sz="0" w:space="0" w:color="auto"/>
        <w:right w:val="none" w:sz="0" w:space="0" w:color="auto"/>
      </w:divBdr>
    </w:div>
    <w:div w:id="389692780">
      <w:bodyDiv w:val="1"/>
      <w:marLeft w:val="0"/>
      <w:marRight w:val="0"/>
      <w:marTop w:val="0"/>
      <w:marBottom w:val="0"/>
      <w:divBdr>
        <w:top w:val="none" w:sz="0" w:space="0" w:color="auto"/>
        <w:left w:val="none" w:sz="0" w:space="0" w:color="auto"/>
        <w:bottom w:val="none" w:sz="0" w:space="0" w:color="auto"/>
        <w:right w:val="none" w:sz="0" w:space="0" w:color="auto"/>
      </w:divBdr>
    </w:div>
    <w:div w:id="402532369">
      <w:bodyDiv w:val="1"/>
      <w:marLeft w:val="0"/>
      <w:marRight w:val="0"/>
      <w:marTop w:val="0"/>
      <w:marBottom w:val="0"/>
      <w:divBdr>
        <w:top w:val="none" w:sz="0" w:space="0" w:color="auto"/>
        <w:left w:val="none" w:sz="0" w:space="0" w:color="auto"/>
        <w:bottom w:val="none" w:sz="0" w:space="0" w:color="auto"/>
        <w:right w:val="none" w:sz="0" w:space="0" w:color="auto"/>
      </w:divBdr>
    </w:div>
    <w:div w:id="513348817">
      <w:bodyDiv w:val="1"/>
      <w:marLeft w:val="0"/>
      <w:marRight w:val="0"/>
      <w:marTop w:val="0"/>
      <w:marBottom w:val="0"/>
      <w:divBdr>
        <w:top w:val="none" w:sz="0" w:space="0" w:color="auto"/>
        <w:left w:val="none" w:sz="0" w:space="0" w:color="auto"/>
        <w:bottom w:val="none" w:sz="0" w:space="0" w:color="auto"/>
        <w:right w:val="none" w:sz="0" w:space="0" w:color="auto"/>
      </w:divBdr>
    </w:div>
    <w:div w:id="513494985">
      <w:bodyDiv w:val="1"/>
      <w:marLeft w:val="0"/>
      <w:marRight w:val="0"/>
      <w:marTop w:val="0"/>
      <w:marBottom w:val="0"/>
      <w:divBdr>
        <w:top w:val="none" w:sz="0" w:space="0" w:color="auto"/>
        <w:left w:val="none" w:sz="0" w:space="0" w:color="auto"/>
        <w:bottom w:val="none" w:sz="0" w:space="0" w:color="auto"/>
        <w:right w:val="none" w:sz="0" w:space="0" w:color="auto"/>
      </w:divBdr>
    </w:div>
    <w:div w:id="608009062">
      <w:bodyDiv w:val="1"/>
      <w:marLeft w:val="0"/>
      <w:marRight w:val="0"/>
      <w:marTop w:val="0"/>
      <w:marBottom w:val="0"/>
      <w:divBdr>
        <w:top w:val="none" w:sz="0" w:space="0" w:color="auto"/>
        <w:left w:val="none" w:sz="0" w:space="0" w:color="auto"/>
        <w:bottom w:val="none" w:sz="0" w:space="0" w:color="auto"/>
        <w:right w:val="none" w:sz="0" w:space="0" w:color="auto"/>
      </w:divBdr>
    </w:div>
    <w:div w:id="644745018">
      <w:bodyDiv w:val="1"/>
      <w:marLeft w:val="0"/>
      <w:marRight w:val="0"/>
      <w:marTop w:val="0"/>
      <w:marBottom w:val="0"/>
      <w:divBdr>
        <w:top w:val="none" w:sz="0" w:space="0" w:color="auto"/>
        <w:left w:val="none" w:sz="0" w:space="0" w:color="auto"/>
        <w:bottom w:val="none" w:sz="0" w:space="0" w:color="auto"/>
        <w:right w:val="none" w:sz="0" w:space="0" w:color="auto"/>
      </w:divBdr>
    </w:div>
    <w:div w:id="678384954">
      <w:bodyDiv w:val="1"/>
      <w:marLeft w:val="0"/>
      <w:marRight w:val="0"/>
      <w:marTop w:val="0"/>
      <w:marBottom w:val="0"/>
      <w:divBdr>
        <w:top w:val="none" w:sz="0" w:space="0" w:color="auto"/>
        <w:left w:val="none" w:sz="0" w:space="0" w:color="auto"/>
        <w:bottom w:val="none" w:sz="0" w:space="0" w:color="auto"/>
        <w:right w:val="none" w:sz="0" w:space="0" w:color="auto"/>
      </w:divBdr>
    </w:div>
    <w:div w:id="725571931">
      <w:bodyDiv w:val="1"/>
      <w:marLeft w:val="0"/>
      <w:marRight w:val="0"/>
      <w:marTop w:val="0"/>
      <w:marBottom w:val="0"/>
      <w:divBdr>
        <w:top w:val="none" w:sz="0" w:space="0" w:color="auto"/>
        <w:left w:val="none" w:sz="0" w:space="0" w:color="auto"/>
        <w:bottom w:val="none" w:sz="0" w:space="0" w:color="auto"/>
        <w:right w:val="none" w:sz="0" w:space="0" w:color="auto"/>
      </w:divBdr>
    </w:div>
    <w:div w:id="742947151">
      <w:bodyDiv w:val="1"/>
      <w:marLeft w:val="0"/>
      <w:marRight w:val="0"/>
      <w:marTop w:val="0"/>
      <w:marBottom w:val="0"/>
      <w:divBdr>
        <w:top w:val="none" w:sz="0" w:space="0" w:color="auto"/>
        <w:left w:val="none" w:sz="0" w:space="0" w:color="auto"/>
        <w:bottom w:val="none" w:sz="0" w:space="0" w:color="auto"/>
        <w:right w:val="none" w:sz="0" w:space="0" w:color="auto"/>
      </w:divBdr>
    </w:div>
    <w:div w:id="746654560">
      <w:bodyDiv w:val="1"/>
      <w:marLeft w:val="0"/>
      <w:marRight w:val="0"/>
      <w:marTop w:val="0"/>
      <w:marBottom w:val="0"/>
      <w:divBdr>
        <w:top w:val="none" w:sz="0" w:space="0" w:color="auto"/>
        <w:left w:val="none" w:sz="0" w:space="0" w:color="auto"/>
        <w:bottom w:val="none" w:sz="0" w:space="0" w:color="auto"/>
        <w:right w:val="none" w:sz="0" w:space="0" w:color="auto"/>
      </w:divBdr>
    </w:div>
    <w:div w:id="751047684">
      <w:bodyDiv w:val="1"/>
      <w:marLeft w:val="0"/>
      <w:marRight w:val="0"/>
      <w:marTop w:val="0"/>
      <w:marBottom w:val="0"/>
      <w:divBdr>
        <w:top w:val="none" w:sz="0" w:space="0" w:color="auto"/>
        <w:left w:val="none" w:sz="0" w:space="0" w:color="auto"/>
        <w:bottom w:val="none" w:sz="0" w:space="0" w:color="auto"/>
        <w:right w:val="none" w:sz="0" w:space="0" w:color="auto"/>
      </w:divBdr>
    </w:div>
    <w:div w:id="790788398">
      <w:bodyDiv w:val="1"/>
      <w:marLeft w:val="0"/>
      <w:marRight w:val="0"/>
      <w:marTop w:val="0"/>
      <w:marBottom w:val="0"/>
      <w:divBdr>
        <w:top w:val="none" w:sz="0" w:space="0" w:color="auto"/>
        <w:left w:val="none" w:sz="0" w:space="0" w:color="auto"/>
        <w:bottom w:val="none" w:sz="0" w:space="0" w:color="auto"/>
        <w:right w:val="none" w:sz="0" w:space="0" w:color="auto"/>
      </w:divBdr>
    </w:div>
    <w:div w:id="803279840">
      <w:bodyDiv w:val="1"/>
      <w:marLeft w:val="0"/>
      <w:marRight w:val="0"/>
      <w:marTop w:val="0"/>
      <w:marBottom w:val="0"/>
      <w:divBdr>
        <w:top w:val="none" w:sz="0" w:space="0" w:color="auto"/>
        <w:left w:val="none" w:sz="0" w:space="0" w:color="auto"/>
        <w:bottom w:val="none" w:sz="0" w:space="0" w:color="auto"/>
        <w:right w:val="none" w:sz="0" w:space="0" w:color="auto"/>
      </w:divBdr>
    </w:div>
    <w:div w:id="811098665">
      <w:bodyDiv w:val="1"/>
      <w:marLeft w:val="0"/>
      <w:marRight w:val="0"/>
      <w:marTop w:val="0"/>
      <w:marBottom w:val="0"/>
      <w:divBdr>
        <w:top w:val="none" w:sz="0" w:space="0" w:color="auto"/>
        <w:left w:val="none" w:sz="0" w:space="0" w:color="auto"/>
        <w:bottom w:val="none" w:sz="0" w:space="0" w:color="auto"/>
        <w:right w:val="none" w:sz="0" w:space="0" w:color="auto"/>
      </w:divBdr>
    </w:div>
    <w:div w:id="822502143">
      <w:bodyDiv w:val="1"/>
      <w:marLeft w:val="0"/>
      <w:marRight w:val="0"/>
      <w:marTop w:val="0"/>
      <w:marBottom w:val="0"/>
      <w:divBdr>
        <w:top w:val="none" w:sz="0" w:space="0" w:color="auto"/>
        <w:left w:val="none" w:sz="0" w:space="0" w:color="auto"/>
        <w:bottom w:val="none" w:sz="0" w:space="0" w:color="auto"/>
        <w:right w:val="none" w:sz="0" w:space="0" w:color="auto"/>
      </w:divBdr>
    </w:div>
    <w:div w:id="849219412">
      <w:bodyDiv w:val="1"/>
      <w:marLeft w:val="0"/>
      <w:marRight w:val="0"/>
      <w:marTop w:val="0"/>
      <w:marBottom w:val="0"/>
      <w:divBdr>
        <w:top w:val="none" w:sz="0" w:space="0" w:color="auto"/>
        <w:left w:val="none" w:sz="0" w:space="0" w:color="auto"/>
        <w:bottom w:val="none" w:sz="0" w:space="0" w:color="auto"/>
        <w:right w:val="none" w:sz="0" w:space="0" w:color="auto"/>
      </w:divBdr>
    </w:div>
    <w:div w:id="869993247">
      <w:bodyDiv w:val="1"/>
      <w:marLeft w:val="0"/>
      <w:marRight w:val="0"/>
      <w:marTop w:val="0"/>
      <w:marBottom w:val="0"/>
      <w:divBdr>
        <w:top w:val="none" w:sz="0" w:space="0" w:color="auto"/>
        <w:left w:val="none" w:sz="0" w:space="0" w:color="auto"/>
        <w:bottom w:val="none" w:sz="0" w:space="0" w:color="auto"/>
        <w:right w:val="none" w:sz="0" w:space="0" w:color="auto"/>
      </w:divBdr>
    </w:div>
    <w:div w:id="874852598">
      <w:bodyDiv w:val="1"/>
      <w:marLeft w:val="0"/>
      <w:marRight w:val="0"/>
      <w:marTop w:val="0"/>
      <w:marBottom w:val="0"/>
      <w:divBdr>
        <w:top w:val="none" w:sz="0" w:space="0" w:color="auto"/>
        <w:left w:val="none" w:sz="0" w:space="0" w:color="auto"/>
        <w:bottom w:val="none" w:sz="0" w:space="0" w:color="auto"/>
        <w:right w:val="none" w:sz="0" w:space="0" w:color="auto"/>
      </w:divBdr>
    </w:div>
    <w:div w:id="893084583">
      <w:bodyDiv w:val="1"/>
      <w:marLeft w:val="0"/>
      <w:marRight w:val="0"/>
      <w:marTop w:val="0"/>
      <w:marBottom w:val="0"/>
      <w:divBdr>
        <w:top w:val="none" w:sz="0" w:space="0" w:color="auto"/>
        <w:left w:val="none" w:sz="0" w:space="0" w:color="auto"/>
        <w:bottom w:val="none" w:sz="0" w:space="0" w:color="auto"/>
        <w:right w:val="none" w:sz="0" w:space="0" w:color="auto"/>
      </w:divBdr>
    </w:div>
    <w:div w:id="932932044">
      <w:bodyDiv w:val="1"/>
      <w:marLeft w:val="0"/>
      <w:marRight w:val="0"/>
      <w:marTop w:val="0"/>
      <w:marBottom w:val="0"/>
      <w:divBdr>
        <w:top w:val="none" w:sz="0" w:space="0" w:color="auto"/>
        <w:left w:val="none" w:sz="0" w:space="0" w:color="auto"/>
        <w:bottom w:val="none" w:sz="0" w:space="0" w:color="auto"/>
        <w:right w:val="none" w:sz="0" w:space="0" w:color="auto"/>
      </w:divBdr>
    </w:div>
    <w:div w:id="933854700">
      <w:bodyDiv w:val="1"/>
      <w:marLeft w:val="0"/>
      <w:marRight w:val="0"/>
      <w:marTop w:val="0"/>
      <w:marBottom w:val="0"/>
      <w:divBdr>
        <w:top w:val="none" w:sz="0" w:space="0" w:color="auto"/>
        <w:left w:val="none" w:sz="0" w:space="0" w:color="auto"/>
        <w:bottom w:val="none" w:sz="0" w:space="0" w:color="auto"/>
        <w:right w:val="none" w:sz="0" w:space="0" w:color="auto"/>
      </w:divBdr>
    </w:div>
    <w:div w:id="936904211">
      <w:bodyDiv w:val="1"/>
      <w:marLeft w:val="0"/>
      <w:marRight w:val="0"/>
      <w:marTop w:val="0"/>
      <w:marBottom w:val="0"/>
      <w:divBdr>
        <w:top w:val="none" w:sz="0" w:space="0" w:color="auto"/>
        <w:left w:val="none" w:sz="0" w:space="0" w:color="auto"/>
        <w:bottom w:val="none" w:sz="0" w:space="0" w:color="auto"/>
        <w:right w:val="none" w:sz="0" w:space="0" w:color="auto"/>
      </w:divBdr>
    </w:div>
    <w:div w:id="958756121">
      <w:bodyDiv w:val="1"/>
      <w:marLeft w:val="0"/>
      <w:marRight w:val="0"/>
      <w:marTop w:val="0"/>
      <w:marBottom w:val="0"/>
      <w:divBdr>
        <w:top w:val="none" w:sz="0" w:space="0" w:color="auto"/>
        <w:left w:val="none" w:sz="0" w:space="0" w:color="auto"/>
        <w:bottom w:val="none" w:sz="0" w:space="0" w:color="auto"/>
        <w:right w:val="none" w:sz="0" w:space="0" w:color="auto"/>
      </w:divBdr>
    </w:div>
    <w:div w:id="989096919">
      <w:bodyDiv w:val="1"/>
      <w:marLeft w:val="0"/>
      <w:marRight w:val="0"/>
      <w:marTop w:val="0"/>
      <w:marBottom w:val="0"/>
      <w:divBdr>
        <w:top w:val="none" w:sz="0" w:space="0" w:color="auto"/>
        <w:left w:val="none" w:sz="0" w:space="0" w:color="auto"/>
        <w:bottom w:val="none" w:sz="0" w:space="0" w:color="auto"/>
        <w:right w:val="none" w:sz="0" w:space="0" w:color="auto"/>
      </w:divBdr>
    </w:div>
    <w:div w:id="1012489060">
      <w:bodyDiv w:val="1"/>
      <w:marLeft w:val="0"/>
      <w:marRight w:val="0"/>
      <w:marTop w:val="0"/>
      <w:marBottom w:val="0"/>
      <w:divBdr>
        <w:top w:val="none" w:sz="0" w:space="0" w:color="auto"/>
        <w:left w:val="none" w:sz="0" w:space="0" w:color="auto"/>
        <w:bottom w:val="none" w:sz="0" w:space="0" w:color="auto"/>
        <w:right w:val="none" w:sz="0" w:space="0" w:color="auto"/>
      </w:divBdr>
    </w:div>
    <w:div w:id="1031372039">
      <w:bodyDiv w:val="1"/>
      <w:marLeft w:val="0"/>
      <w:marRight w:val="0"/>
      <w:marTop w:val="0"/>
      <w:marBottom w:val="0"/>
      <w:divBdr>
        <w:top w:val="none" w:sz="0" w:space="0" w:color="auto"/>
        <w:left w:val="none" w:sz="0" w:space="0" w:color="auto"/>
        <w:bottom w:val="none" w:sz="0" w:space="0" w:color="auto"/>
        <w:right w:val="none" w:sz="0" w:space="0" w:color="auto"/>
      </w:divBdr>
    </w:div>
    <w:div w:id="1036201522">
      <w:bodyDiv w:val="1"/>
      <w:marLeft w:val="0"/>
      <w:marRight w:val="0"/>
      <w:marTop w:val="0"/>
      <w:marBottom w:val="0"/>
      <w:divBdr>
        <w:top w:val="none" w:sz="0" w:space="0" w:color="auto"/>
        <w:left w:val="none" w:sz="0" w:space="0" w:color="auto"/>
        <w:bottom w:val="none" w:sz="0" w:space="0" w:color="auto"/>
        <w:right w:val="none" w:sz="0" w:space="0" w:color="auto"/>
      </w:divBdr>
    </w:div>
    <w:div w:id="1052583692">
      <w:bodyDiv w:val="1"/>
      <w:marLeft w:val="0"/>
      <w:marRight w:val="0"/>
      <w:marTop w:val="0"/>
      <w:marBottom w:val="0"/>
      <w:divBdr>
        <w:top w:val="none" w:sz="0" w:space="0" w:color="auto"/>
        <w:left w:val="none" w:sz="0" w:space="0" w:color="auto"/>
        <w:bottom w:val="none" w:sz="0" w:space="0" w:color="auto"/>
        <w:right w:val="none" w:sz="0" w:space="0" w:color="auto"/>
      </w:divBdr>
    </w:div>
    <w:div w:id="1058016463">
      <w:bodyDiv w:val="1"/>
      <w:marLeft w:val="0"/>
      <w:marRight w:val="0"/>
      <w:marTop w:val="0"/>
      <w:marBottom w:val="0"/>
      <w:divBdr>
        <w:top w:val="none" w:sz="0" w:space="0" w:color="auto"/>
        <w:left w:val="none" w:sz="0" w:space="0" w:color="auto"/>
        <w:bottom w:val="none" w:sz="0" w:space="0" w:color="auto"/>
        <w:right w:val="none" w:sz="0" w:space="0" w:color="auto"/>
      </w:divBdr>
    </w:div>
    <w:div w:id="1112671565">
      <w:bodyDiv w:val="1"/>
      <w:marLeft w:val="0"/>
      <w:marRight w:val="0"/>
      <w:marTop w:val="0"/>
      <w:marBottom w:val="0"/>
      <w:divBdr>
        <w:top w:val="none" w:sz="0" w:space="0" w:color="auto"/>
        <w:left w:val="none" w:sz="0" w:space="0" w:color="auto"/>
        <w:bottom w:val="none" w:sz="0" w:space="0" w:color="auto"/>
        <w:right w:val="none" w:sz="0" w:space="0" w:color="auto"/>
      </w:divBdr>
    </w:div>
    <w:div w:id="1119758455">
      <w:bodyDiv w:val="1"/>
      <w:marLeft w:val="0"/>
      <w:marRight w:val="0"/>
      <w:marTop w:val="0"/>
      <w:marBottom w:val="0"/>
      <w:divBdr>
        <w:top w:val="none" w:sz="0" w:space="0" w:color="auto"/>
        <w:left w:val="none" w:sz="0" w:space="0" w:color="auto"/>
        <w:bottom w:val="none" w:sz="0" w:space="0" w:color="auto"/>
        <w:right w:val="none" w:sz="0" w:space="0" w:color="auto"/>
      </w:divBdr>
    </w:div>
    <w:div w:id="1141115346">
      <w:bodyDiv w:val="1"/>
      <w:marLeft w:val="0"/>
      <w:marRight w:val="0"/>
      <w:marTop w:val="0"/>
      <w:marBottom w:val="0"/>
      <w:divBdr>
        <w:top w:val="none" w:sz="0" w:space="0" w:color="auto"/>
        <w:left w:val="none" w:sz="0" w:space="0" w:color="auto"/>
        <w:bottom w:val="none" w:sz="0" w:space="0" w:color="auto"/>
        <w:right w:val="none" w:sz="0" w:space="0" w:color="auto"/>
      </w:divBdr>
    </w:div>
    <w:div w:id="1144929617">
      <w:bodyDiv w:val="1"/>
      <w:marLeft w:val="0"/>
      <w:marRight w:val="0"/>
      <w:marTop w:val="0"/>
      <w:marBottom w:val="0"/>
      <w:divBdr>
        <w:top w:val="none" w:sz="0" w:space="0" w:color="auto"/>
        <w:left w:val="none" w:sz="0" w:space="0" w:color="auto"/>
        <w:bottom w:val="none" w:sz="0" w:space="0" w:color="auto"/>
        <w:right w:val="none" w:sz="0" w:space="0" w:color="auto"/>
      </w:divBdr>
    </w:div>
    <w:div w:id="1149322502">
      <w:bodyDiv w:val="1"/>
      <w:marLeft w:val="0"/>
      <w:marRight w:val="0"/>
      <w:marTop w:val="0"/>
      <w:marBottom w:val="0"/>
      <w:divBdr>
        <w:top w:val="none" w:sz="0" w:space="0" w:color="auto"/>
        <w:left w:val="none" w:sz="0" w:space="0" w:color="auto"/>
        <w:bottom w:val="none" w:sz="0" w:space="0" w:color="auto"/>
        <w:right w:val="none" w:sz="0" w:space="0" w:color="auto"/>
      </w:divBdr>
    </w:div>
    <w:div w:id="1150173825">
      <w:bodyDiv w:val="1"/>
      <w:marLeft w:val="0"/>
      <w:marRight w:val="0"/>
      <w:marTop w:val="0"/>
      <w:marBottom w:val="0"/>
      <w:divBdr>
        <w:top w:val="none" w:sz="0" w:space="0" w:color="auto"/>
        <w:left w:val="none" w:sz="0" w:space="0" w:color="auto"/>
        <w:bottom w:val="none" w:sz="0" w:space="0" w:color="auto"/>
        <w:right w:val="none" w:sz="0" w:space="0" w:color="auto"/>
      </w:divBdr>
    </w:div>
    <w:div w:id="1162430988">
      <w:bodyDiv w:val="1"/>
      <w:marLeft w:val="0"/>
      <w:marRight w:val="0"/>
      <w:marTop w:val="0"/>
      <w:marBottom w:val="0"/>
      <w:divBdr>
        <w:top w:val="none" w:sz="0" w:space="0" w:color="auto"/>
        <w:left w:val="none" w:sz="0" w:space="0" w:color="auto"/>
        <w:bottom w:val="none" w:sz="0" w:space="0" w:color="auto"/>
        <w:right w:val="none" w:sz="0" w:space="0" w:color="auto"/>
      </w:divBdr>
    </w:div>
    <w:div w:id="1173377732">
      <w:bodyDiv w:val="1"/>
      <w:marLeft w:val="0"/>
      <w:marRight w:val="0"/>
      <w:marTop w:val="0"/>
      <w:marBottom w:val="0"/>
      <w:divBdr>
        <w:top w:val="none" w:sz="0" w:space="0" w:color="auto"/>
        <w:left w:val="none" w:sz="0" w:space="0" w:color="auto"/>
        <w:bottom w:val="none" w:sz="0" w:space="0" w:color="auto"/>
        <w:right w:val="none" w:sz="0" w:space="0" w:color="auto"/>
      </w:divBdr>
    </w:div>
    <w:div w:id="1210459305">
      <w:bodyDiv w:val="1"/>
      <w:marLeft w:val="0"/>
      <w:marRight w:val="0"/>
      <w:marTop w:val="0"/>
      <w:marBottom w:val="0"/>
      <w:divBdr>
        <w:top w:val="none" w:sz="0" w:space="0" w:color="auto"/>
        <w:left w:val="none" w:sz="0" w:space="0" w:color="auto"/>
        <w:bottom w:val="none" w:sz="0" w:space="0" w:color="auto"/>
        <w:right w:val="none" w:sz="0" w:space="0" w:color="auto"/>
      </w:divBdr>
    </w:div>
    <w:div w:id="1243955215">
      <w:bodyDiv w:val="1"/>
      <w:marLeft w:val="0"/>
      <w:marRight w:val="0"/>
      <w:marTop w:val="0"/>
      <w:marBottom w:val="0"/>
      <w:divBdr>
        <w:top w:val="none" w:sz="0" w:space="0" w:color="auto"/>
        <w:left w:val="none" w:sz="0" w:space="0" w:color="auto"/>
        <w:bottom w:val="none" w:sz="0" w:space="0" w:color="auto"/>
        <w:right w:val="none" w:sz="0" w:space="0" w:color="auto"/>
      </w:divBdr>
    </w:div>
    <w:div w:id="1259170724">
      <w:bodyDiv w:val="1"/>
      <w:marLeft w:val="0"/>
      <w:marRight w:val="0"/>
      <w:marTop w:val="0"/>
      <w:marBottom w:val="0"/>
      <w:divBdr>
        <w:top w:val="none" w:sz="0" w:space="0" w:color="auto"/>
        <w:left w:val="none" w:sz="0" w:space="0" w:color="auto"/>
        <w:bottom w:val="none" w:sz="0" w:space="0" w:color="auto"/>
        <w:right w:val="none" w:sz="0" w:space="0" w:color="auto"/>
      </w:divBdr>
    </w:div>
    <w:div w:id="1315066048">
      <w:bodyDiv w:val="1"/>
      <w:marLeft w:val="0"/>
      <w:marRight w:val="0"/>
      <w:marTop w:val="0"/>
      <w:marBottom w:val="0"/>
      <w:divBdr>
        <w:top w:val="none" w:sz="0" w:space="0" w:color="auto"/>
        <w:left w:val="none" w:sz="0" w:space="0" w:color="auto"/>
        <w:bottom w:val="none" w:sz="0" w:space="0" w:color="auto"/>
        <w:right w:val="none" w:sz="0" w:space="0" w:color="auto"/>
      </w:divBdr>
    </w:div>
    <w:div w:id="1317371504">
      <w:bodyDiv w:val="1"/>
      <w:marLeft w:val="0"/>
      <w:marRight w:val="0"/>
      <w:marTop w:val="0"/>
      <w:marBottom w:val="0"/>
      <w:divBdr>
        <w:top w:val="none" w:sz="0" w:space="0" w:color="auto"/>
        <w:left w:val="none" w:sz="0" w:space="0" w:color="auto"/>
        <w:bottom w:val="none" w:sz="0" w:space="0" w:color="auto"/>
        <w:right w:val="none" w:sz="0" w:space="0" w:color="auto"/>
      </w:divBdr>
    </w:div>
    <w:div w:id="1327244376">
      <w:bodyDiv w:val="1"/>
      <w:marLeft w:val="0"/>
      <w:marRight w:val="0"/>
      <w:marTop w:val="0"/>
      <w:marBottom w:val="0"/>
      <w:divBdr>
        <w:top w:val="none" w:sz="0" w:space="0" w:color="auto"/>
        <w:left w:val="none" w:sz="0" w:space="0" w:color="auto"/>
        <w:bottom w:val="none" w:sz="0" w:space="0" w:color="auto"/>
        <w:right w:val="none" w:sz="0" w:space="0" w:color="auto"/>
      </w:divBdr>
    </w:div>
    <w:div w:id="1332442734">
      <w:bodyDiv w:val="1"/>
      <w:marLeft w:val="0"/>
      <w:marRight w:val="0"/>
      <w:marTop w:val="0"/>
      <w:marBottom w:val="0"/>
      <w:divBdr>
        <w:top w:val="none" w:sz="0" w:space="0" w:color="auto"/>
        <w:left w:val="none" w:sz="0" w:space="0" w:color="auto"/>
        <w:bottom w:val="none" w:sz="0" w:space="0" w:color="auto"/>
        <w:right w:val="none" w:sz="0" w:space="0" w:color="auto"/>
      </w:divBdr>
    </w:div>
    <w:div w:id="1459379153">
      <w:bodyDiv w:val="1"/>
      <w:marLeft w:val="0"/>
      <w:marRight w:val="0"/>
      <w:marTop w:val="0"/>
      <w:marBottom w:val="0"/>
      <w:divBdr>
        <w:top w:val="none" w:sz="0" w:space="0" w:color="auto"/>
        <w:left w:val="none" w:sz="0" w:space="0" w:color="auto"/>
        <w:bottom w:val="none" w:sz="0" w:space="0" w:color="auto"/>
        <w:right w:val="none" w:sz="0" w:space="0" w:color="auto"/>
      </w:divBdr>
    </w:div>
    <w:div w:id="1469012975">
      <w:bodyDiv w:val="1"/>
      <w:marLeft w:val="0"/>
      <w:marRight w:val="0"/>
      <w:marTop w:val="0"/>
      <w:marBottom w:val="0"/>
      <w:divBdr>
        <w:top w:val="none" w:sz="0" w:space="0" w:color="auto"/>
        <w:left w:val="none" w:sz="0" w:space="0" w:color="auto"/>
        <w:bottom w:val="none" w:sz="0" w:space="0" w:color="auto"/>
        <w:right w:val="none" w:sz="0" w:space="0" w:color="auto"/>
      </w:divBdr>
    </w:div>
    <w:div w:id="1476727035">
      <w:bodyDiv w:val="1"/>
      <w:marLeft w:val="0"/>
      <w:marRight w:val="0"/>
      <w:marTop w:val="0"/>
      <w:marBottom w:val="0"/>
      <w:divBdr>
        <w:top w:val="none" w:sz="0" w:space="0" w:color="auto"/>
        <w:left w:val="none" w:sz="0" w:space="0" w:color="auto"/>
        <w:bottom w:val="none" w:sz="0" w:space="0" w:color="auto"/>
        <w:right w:val="none" w:sz="0" w:space="0" w:color="auto"/>
      </w:divBdr>
    </w:div>
    <w:div w:id="1477256018">
      <w:bodyDiv w:val="1"/>
      <w:marLeft w:val="0"/>
      <w:marRight w:val="0"/>
      <w:marTop w:val="0"/>
      <w:marBottom w:val="0"/>
      <w:divBdr>
        <w:top w:val="none" w:sz="0" w:space="0" w:color="auto"/>
        <w:left w:val="none" w:sz="0" w:space="0" w:color="auto"/>
        <w:bottom w:val="none" w:sz="0" w:space="0" w:color="auto"/>
        <w:right w:val="none" w:sz="0" w:space="0" w:color="auto"/>
      </w:divBdr>
    </w:div>
    <w:div w:id="1477722685">
      <w:bodyDiv w:val="1"/>
      <w:marLeft w:val="0"/>
      <w:marRight w:val="0"/>
      <w:marTop w:val="0"/>
      <w:marBottom w:val="0"/>
      <w:divBdr>
        <w:top w:val="none" w:sz="0" w:space="0" w:color="auto"/>
        <w:left w:val="none" w:sz="0" w:space="0" w:color="auto"/>
        <w:bottom w:val="none" w:sz="0" w:space="0" w:color="auto"/>
        <w:right w:val="none" w:sz="0" w:space="0" w:color="auto"/>
      </w:divBdr>
    </w:div>
    <w:div w:id="1494493048">
      <w:bodyDiv w:val="1"/>
      <w:marLeft w:val="0"/>
      <w:marRight w:val="0"/>
      <w:marTop w:val="0"/>
      <w:marBottom w:val="0"/>
      <w:divBdr>
        <w:top w:val="none" w:sz="0" w:space="0" w:color="auto"/>
        <w:left w:val="none" w:sz="0" w:space="0" w:color="auto"/>
        <w:bottom w:val="none" w:sz="0" w:space="0" w:color="auto"/>
        <w:right w:val="none" w:sz="0" w:space="0" w:color="auto"/>
      </w:divBdr>
    </w:div>
    <w:div w:id="1495536675">
      <w:bodyDiv w:val="1"/>
      <w:marLeft w:val="0"/>
      <w:marRight w:val="0"/>
      <w:marTop w:val="0"/>
      <w:marBottom w:val="0"/>
      <w:divBdr>
        <w:top w:val="none" w:sz="0" w:space="0" w:color="auto"/>
        <w:left w:val="none" w:sz="0" w:space="0" w:color="auto"/>
        <w:bottom w:val="none" w:sz="0" w:space="0" w:color="auto"/>
        <w:right w:val="none" w:sz="0" w:space="0" w:color="auto"/>
      </w:divBdr>
    </w:div>
    <w:div w:id="1504541611">
      <w:bodyDiv w:val="1"/>
      <w:marLeft w:val="0"/>
      <w:marRight w:val="0"/>
      <w:marTop w:val="0"/>
      <w:marBottom w:val="0"/>
      <w:divBdr>
        <w:top w:val="none" w:sz="0" w:space="0" w:color="auto"/>
        <w:left w:val="none" w:sz="0" w:space="0" w:color="auto"/>
        <w:bottom w:val="none" w:sz="0" w:space="0" w:color="auto"/>
        <w:right w:val="none" w:sz="0" w:space="0" w:color="auto"/>
      </w:divBdr>
    </w:div>
    <w:div w:id="1505584893">
      <w:bodyDiv w:val="1"/>
      <w:marLeft w:val="0"/>
      <w:marRight w:val="0"/>
      <w:marTop w:val="0"/>
      <w:marBottom w:val="0"/>
      <w:divBdr>
        <w:top w:val="none" w:sz="0" w:space="0" w:color="auto"/>
        <w:left w:val="none" w:sz="0" w:space="0" w:color="auto"/>
        <w:bottom w:val="none" w:sz="0" w:space="0" w:color="auto"/>
        <w:right w:val="none" w:sz="0" w:space="0" w:color="auto"/>
      </w:divBdr>
    </w:div>
    <w:div w:id="1506752044">
      <w:bodyDiv w:val="1"/>
      <w:marLeft w:val="0"/>
      <w:marRight w:val="0"/>
      <w:marTop w:val="0"/>
      <w:marBottom w:val="0"/>
      <w:divBdr>
        <w:top w:val="none" w:sz="0" w:space="0" w:color="auto"/>
        <w:left w:val="none" w:sz="0" w:space="0" w:color="auto"/>
        <w:bottom w:val="none" w:sz="0" w:space="0" w:color="auto"/>
        <w:right w:val="none" w:sz="0" w:space="0" w:color="auto"/>
      </w:divBdr>
    </w:div>
    <w:div w:id="1508783889">
      <w:bodyDiv w:val="1"/>
      <w:marLeft w:val="0"/>
      <w:marRight w:val="0"/>
      <w:marTop w:val="0"/>
      <w:marBottom w:val="0"/>
      <w:divBdr>
        <w:top w:val="none" w:sz="0" w:space="0" w:color="auto"/>
        <w:left w:val="none" w:sz="0" w:space="0" w:color="auto"/>
        <w:bottom w:val="none" w:sz="0" w:space="0" w:color="auto"/>
        <w:right w:val="none" w:sz="0" w:space="0" w:color="auto"/>
      </w:divBdr>
    </w:div>
    <w:div w:id="1523275535">
      <w:bodyDiv w:val="1"/>
      <w:marLeft w:val="0"/>
      <w:marRight w:val="0"/>
      <w:marTop w:val="0"/>
      <w:marBottom w:val="0"/>
      <w:divBdr>
        <w:top w:val="none" w:sz="0" w:space="0" w:color="auto"/>
        <w:left w:val="none" w:sz="0" w:space="0" w:color="auto"/>
        <w:bottom w:val="none" w:sz="0" w:space="0" w:color="auto"/>
        <w:right w:val="none" w:sz="0" w:space="0" w:color="auto"/>
      </w:divBdr>
    </w:div>
    <w:div w:id="1541045652">
      <w:bodyDiv w:val="1"/>
      <w:marLeft w:val="0"/>
      <w:marRight w:val="0"/>
      <w:marTop w:val="0"/>
      <w:marBottom w:val="0"/>
      <w:divBdr>
        <w:top w:val="none" w:sz="0" w:space="0" w:color="auto"/>
        <w:left w:val="none" w:sz="0" w:space="0" w:color="auto"/>
        <w:bottom w:val="none" w:sz="0" w:space="0" w:color="auto"/>
        <w:right w:val="none" w:sz="0" w:space="0" w:color="auto"/>
      </w:divBdr>
    </w:div>
    <w:div w:id="1570339926">
      <w:bodyDiv w:val="1"/>
      <w:marLeft w:val="0"/>
      <w:marRight w:val="0"/>
      <w:marTop w:val="0"/>
      <w:marBottom w:val="0"/>
      <w:divBdr>
        <w:top w:val="none" w:sz="0" w:space="0" w:color="auto"/>
        <w:left w:val="none" w:sz="0" w:space="0" w:color="auto"/>
        <w:bottom w:val="none" w:sz="0" w:space="0" w:color="auto"/>
        <w:right w:val="none" w:sz="0" w:space="0" w:color="auto"/>
      </w:divBdr>
    </w:div>
    <w:div w:id="1619406334">
      <w:bodyDiv w:val="1"/>
      <w:marLeft w:val="0"/>
      <w:marRight w:val="0"/>
      <w:marTop w:val="0"/>
      <w:marBottom w:val="0"/>
      <w:divBdr>
        <w:top w:val="none" w:sz="0" w:space="0" w:color="auto"/>
        <w:left w:val="none" w:sz="0" w:space="0" w:color="auto"/>
        <w:bottom w:val="none" w:sz="0" w:space="0" w:color="auto"/>
        <w:right w:val="none" w:sz="0" w:space="0" w:color="auto"/>
      </w:divBdr>
    </w:div>
    <w:div w:id="1623151550">
      <w:bodyDiv w:val="1"/>
      <w:marLeft w:val="0"/>
      <w:marRight w:val="0"/>
      <w:marTop w:val="0"/>
      <w:marBottom w:val="0"/>
      <w:divBdr>
        <w:top w:val="none" w:sz="0" w:space="0" w:color="auto"/>
        <w:left w:val="none" w:sz="0" w:space="0" w:color="auto"/>
        <w:bottom w:val="none" w:sz="0" w:space="0" w:color="auto"/>
        <w:right w:val="none" w:sz="0" w:space="0" w:color="auto"/>
      </w:divBdr>
    </w:div>
    <w:div w:id="1634366341">
      <w:bodyDiv w:val="1"/>
      <w:marLeft w:val="0"/>
      <w:marRight w:val="0"/>
      <w:marTop w:val="0"/>
      <w:marBottom w:val="0"/>
      <w:divBdr>
        <w:top w:val="none" w:sz="0" w:space="0" w:color="auto"/>
        <w:left w:val="none" w:sz="0" w:space="0" w:color="auto"/>
        <w:bottom w:val="none" w:sz="0" w:space="0" w:color="auto"/>
        <w:right w:val="none" w:sz="0" w:space="0" w:color="auto"/>
      </w:divBdr>
    </w:div>
    <w:div w:id="1642464162">
      <w:bodyDiv w:val="1"/>
      <w:marLeft w:val="0"/>
      <w:marRight w:val="0"/>
      <w:marTop w:val="0"/>
      <w:marBottom w:val="0"/>
      <w:divBdr>
        <w:top w:val="none" w:sz="0" w:space="0" w:color="auto"/>
        <w:left w:val="none" w:sz="0" w:space="0" w:color="auto"/>
        <w:bottom w:val="none" w:sz="0" w:space="0" w:color="auto"/>
        <w:right w:val="none" w:sz="0" w:space="0" w:color="auto"/>
      </w:divBdr>
    </w:div>
    <w:div w:id="1677611975">
      <w:bodyDiv w:val="1"/>
      <w:marLeft w:val="0"/>
      <w:marRight w:val="0"/>
      <w:marTop w:val="0"/>
      <w:marBottom w:val="0"/>
      <w:divBdr>
        <w:top w:val="none" w:sz="0" w:space="0" w:color="auto"/>
        <w:left w:val="none" w:sz="0" w:space="0" w:color="auto"/>
        <w:bottom w:val="none" w:sz="0" w:space="0" w:color="auto"/>
        <w:right w:val="none" w:sz="0" w:space="0" w:color="auto"/>
      </w:divBdr>
    </w:div>
    <w:div w:id="1693922946">
      <w:bodyDiv w:val="1"/>
      <w:marLeft w:val="0"/>
      <w:marRight w:val="0"/>
      <w:marTop w:val="0"/>
      <w:marBottom w:val="0"/>
      <w:divBdr>
        <w:top w:val="none" w:sz="0" w:space="0" w:color="auto"/>
        <w:left w:val="none" w:sz="0" w:space="0" w:color="auto"/>
        <w:bottom w:val="none" w:sz="0" w:space="0" w:color="auto"/>
        <w:right w:val="none" w:sz="0" w:space="0" w:color="auto"/>
      </w:divBdr>
    </w:div>
    <w:div w:id="1725761372">
      <w:bodyDiv w:val="1"/>
      <w:marLeft w:val="0"/>
      <w:marRight w:val="0"/>
      <w:marTop w:val="0"/>
      <w:marBottom w:val="0"/>
      <w:divBdr>
        <w:top w:val="none" w:sz="0" w:space="0" w:color="auto"/>
        <w:left w:val="none" w:sz="0" w:space="0" w:color="auto"/>
        <w:bottom w:val="none" w:sz="0" w:space="0" w:color="auto"/>
        <w:right w:val="none" w:sz="0" w:space="0" w:color="auto"/>
      </w:divBdr>
    </w:div>
    <w:div w:id="1749495850">
      <w:bodyDiv w:val="1"/>
      <w:marLeft w:val="0"/>
      <w:marRight w:val="0"/>
      <w:marTop w:val="0"/>
      <w:marBottom w:val="0"/>
      <w:divBdr>
        <w:top w:val="none" w:sz="0" w:space="0" w:color="auto"/>
        <w:left w:val="none" w:sz="0" w:space="0" w:color="auto"/>
        <w:bottom w:val="none" w:sz="0" w:space="0" w:color="auto"/>
        <w:right w:val="none" w:sz="0" w:space="0" w:color="auto"/>
      </w:divBdr>
    </w:div>
    <w:div w:id="1769229506">
      <w:bodyDiv w:val="1"/>
      <w:marLeft w:val="0"/>
      <w:marRight w:val="0"/>
      <w:marTop w:val="0"/>
      <w:marBottom w:val="0"/>
      <w:divBdr>
        <w:top w:val="none" w:sz="0" w:space="0" w:color="auto"/>
        <w:left w:val="none" w:sz="0" w:space="0" w:color="auto"/>
        <w:bottom w:val="none" w:sz="0" w:space="0" w:color="auto"/>
        <w:right w:val="none" w:sz="0" w:space="0" w:color="auto"/>
      </w:divBdr>
    </w:div>
    <w:div w:id="1781485874">
      <w:bodyDiv w:val="1"/>
      <w:marLeft w:val="0"/>
      <w:marRight w:val="0"/>
      <w:marTop w:val="0"/>
      <w:marBottom w:val="0"/>
      <w:divBdr>
        <w:top w:val="none" w:sz="0" w:space="0" w:color="auto"/>
        <w:left w:val="none" w:sz="0" w:space="0" w:color="auto"/>
        <w:bottom w:val="none" w:sz="0" w:space="0" w:color="auto"/>
        <w:right w:val="none" w:sz="0" w:space="0" w:color="auto"/>
      </w:divBdr>
    </w:div>
    <w:div w:id="1799109937">
      <w:bodyDiv w:val="1"/>
      <w:marLeft w:val="0"/>
      <w:marRight w:val="0"/>
      <w:marTop w:val="0"/>
      <w:marBottom w:val="0"/>
      <w:divBdr>
        <w:top w:val="none" w:sz="0" w:space="0" w:color="auto"/>
        <w:left w:val="none" w:sz="0" w:space="0" w:color="auto"/>
        <w:bottom w:val="none" w:sz="0" w:space="0" w:color="auto"/>
        <w:right w:val="none" w:sz="0" w:space="0" w:color="auto"/>
      </w:divBdr>
    </w:div>
    <w:div w:id="1817339763">
      <w:bodyDiv w:val="1"/>
      <w:marLeft w:val="0"/>
      <w:marRight w:val="0"/>
      <w:marTop w:val="0"/>
      <w:marBottom w:val="0"/>
      <w:divBdr>
        <w:top w:val="none" w:sz="0" w:space="0" w:color="auto"/>
        <w:left w:val="none" w:sz="0" w:space="0" w:color="auto"/>
        <w:bottom w:val="none" w:sz="0" w:space="0" w:color="auto"/>
        <w:right w:val="none" w:sz="0" w:space="0" w:color="auto"/>
      </w:divBdr>
    </w:div>
    <w:div w:id="1821193202">
      <w:bodyDiv w:val="1"/>
      <w:marLeft w:val="0"/>
      <w:marRight w:val="0"/>
      <w:marTop w:val="0"/>
      <w:marBottom w:val="0"/>
      <w:divBdr>
        <w:top w:val="none" w:sz="0" w:space="0" w:color="auto"/>
        <w:left w:val="none" w:sz="0" w:space="0" w:color="auto"/>
        <w:bottom w:val="none" w:sz="0" w:space="0" w:color="auto"/>
        <w:right w:val="none" w:sz="0" w:space="0" w:color="auto"/>
      </w:divBdr>
    </w:div>
    <w:div w:id="1872722981">
      <w:bodyDiv w:val="1"/>
      <w:marLeft w:val="0"/>
      <w:marRight w:val="0"/>
      <w:marTop w:val="0"/>
      <w:marBottom w:val="0"/>
      <w:divBdr>
        <w:top w:val="none" w:sz="0" w:space="0" w:color="auto"/>
        <w:left w:val="none" w:sz="0" w:space="0" w:color="auto"/>
        <w:bottom w:val="none" w:sz="0" w:space="0" w:color="auto"/>
        <w:right w:val="none" w:sz="0" w:space="0" w:color="auto"/>
      </w:divBdr>
    </w:div>
    <w:div w:id="1880700098">
      <w:bodyDiv w:val="1"/>
      <w:marLeft w:val="0"/>
      <w:marRight w:val="0"/>
      <w:marTop w:val="0"/>
      <w:marBottom w:val="0"/>
      <w:divBdr>
        <w:top w:val="none" w:sz="0" w:space="0" w:color="auto"/>
        <w:left w:val="none" w:sz="0" w:space="0" w:color="auto"/>
        <w:bottom w:val="none" w:sz="0" w:space="0" w:color="auto"/>
        <w:right w:val="none" w:sz="0" w:space="0" w:color="auto"/>
      </w:divBdr>
    </w:div>
    <w:div w:id="1941527707">
      <w:bodyDiv w:val="1"/>
      <w:marLeft w:val="0"/>
      <w:marRight w:val="0"/>
      <w:marTop w:val="0"/>
      <w:marBottom w:val="0"/>
      <w:divBdr>
        <w:top w:val="none" w:sz="0" w:space="0" w:color="auto"/>
        <w:left w:val="none" w:sz="0" w:space="0" w:color="auto"/>
        <w:bottom w:val="none" w:sz="0" w:space="0" w:color="auto"/>
        <w:right w:val="none" w:sz="0" w:space="0" w:color="auto"/>
      </w:divBdr>
    </w:div>
    <w:div w:id="1944414526">
      <w:bodyDiv w:val="1"/>
      <w:marLeft w:val="0"/>
      <w:marRight w:val="0"/>
      <w:marTop w:val="0"/>
      <w:marBottom w:val="0"/>
      <w:divBdr>
        <w:top w:val="none" w:sz="0" w:space="0" w:color="auto"/>
        <w:left w:val="none" w:sz="0" w:space="0" w:color="auto"/>
        <w:bottom w:val="none" w:sz="0" w:space="0" w:color="auto"/>
        <w:right w:val="none" w:sz="0" w:space="0" w:color="auto"/>
      </w:divBdr>
    </w:div>
    <w:div w:id="1946841592">
      <w:bodyDiv w:val="1"/>
      <w:marLeft w:val="0"/>
      <w:marRight w:val="0"/>
      <w:marTop w:val="0"/>
      <w:marBottom w:val="0"/>
      <w:divBdr>
        <w:top w:val="none" w:sz="0" w:space="0" w:color="auto"/>
        <w:left w:val="none" w:sz="0" w:space="0" w:color="auto"/>
        <w:bottom w:val="none" w:sz="0" w:space="0" w:color="auto"/>
        <w:right w:val="none" w:sz="0" w:space="0" w:color="auto"/>
      </w:divBdr>
    </w:div>
    <w:div w:id="1961838554">
      <w:bodyDiv w:val="1"/>
      <w:marLeft w:val="0"/>
      <w:marRight w:val="0"/>
      <w:marTop w:val="0"/>
      <w:marBottom w:val="0"/>
      <w:divBdr>
        <w:top w:val="none" w:sz="0" w:space="0" w:color="auto"/>
        <w:left w:val="none" w:sz="0" w:space="0" w:color="auto"/>
        <w:bottom w:val="none" w:sz="0" w:space="0" w:color="auto"/>
        <w:right w:val="none" w:sz="0" w:space="0" w:color="auto"/>
      </w:divBdr>
    </w:div>
    <w:div w:id="2006321551">
      <w:bodyDiv w:val="1"/>
      <w:marLeft w:val="0"/>
      <w:marRight w:val="0"/>
      <w:marTop w:val="0"/>
      <w:marBottom w:val="0"/>
      <w:divBdr>
        <w:top w:val="none" w:sz="0" w:space="0" w:color="auto"/>
        <w:left w:val="none" w:sz="0" w:space="0" w:color="auto"/>
        <w:bottom w:val="none" w:sz="0" w:space="0" w:color="auto"/>
        <w:right w:val="none" w:sz="0" w:space="0" w:color="auto"/>
      </w:divBdr>
    </w:div>
    <w:div w:id="2034309003">
      <w:bodyDiv w:val="1"/>
      <w:marLeft w:val="0"/>
      <w:marRight w:val="0"/>
      <w:marTop w:val="0"/>
      <w:marBottom w:val="0"/>
      <w:divBdr>
        <w:top w:val="none" w:sz="0" w:space="0" w:color="auto"/>
        <w:left w:val="none" w:sz="0" w:space="0" w:color="auto"/>
        <w:bottom w:val="none" w:sz="0" w:space="0" w:color="auto"/>
        <w:right w:val="none" w:sz="0" w:space="0" w:color="auto"/>
      </w:divBdr>
    </w:div>
    <w:div w:id="2044011636">
      <w:bodyDiv w:val="1"/>
      <w:marLeft w:val="0"/>
      <w:marRight w:val="0"/>
      <w:marTop w:val="0"/>
      <w:marBottom w:val="0"/>
      <w:divBdr>
        <w:top w:val="none" w:sz="0" w:space="0" w:color="auto"/>
        <w:left w:val="none" w:sz="0" w:space="0" w:color="auto"/>
        <w:bottom w:val="none" w:sz="0" w:space="0" w:color="auto"/>
        <w:right w:val="none" w:sz="0" w:space="0" w:color="auto"/>
      </w:divBdr>
    </w:div>
    <w:div w:id="2048679282">
      <w:bodyDiv w:val="1"/>
      <w:marLeft w:val="0"/>
      <w:marRight w:val="0"/>
      <w:marTop w:val="0"/>
      <w:marBottom w:val="0"/>
      <w:divBdr>
        <w:top w:val="none" w:sz="0" w:space="0" w:color="auto"/>
        <w:left w:val="none" w:sz="0" w:space="0" w:color="auto"/>
        <w:bottom w:val="none" w:sz="0" w:space="0" w:color="auto"/>
        <w:right w:val="none" w:sz="0" w:space="0" w:color="auto"/>
      </w:divBdr>
    </w:div>
    <w:div w:id="2061971592">
      <w:bodyDiv w:val="1"/>
      <w:marLeft w:val="0"/>
      <w:marRight w:val="0"/>
      <w:marTop w:val="0"/>
      <w:marBottom w:val="0"/>
      <w:divBdr>
        <w:top w:val="none" w:sz="0" w:space="0" w:color="auto"/>
        <w:left w:val="none" w:sz="0" w:space="0" w:color="auto"/>
        <w:bottom w:val="none" w:sz="0" w:space="0" w:color="auto"/>
        <w:right w:val="none" w:sz="0" w:space="0" w:color="auto"/>
      </w:divBdr>
    </w:div>
    <w:div w:id="2119173762">
      <w:bodyDiv w:val="1"/>
      <w:marLeft w:val="0"/>
      <w:marRight w:val="0"/>
      <w:marTop w:val="0"/>
      <w:marBottom w:val="0"/>
      <w:divBdr>
        <w:top w:val="none" w:sz="0" w:space="0" w:color="auto"/>
        <w:left w:val="none" w:sz="0" w:space="0" w:color="auto"/>
        <w:bottom w:val="none" w:sz="0" w:space="0" w:color="auto"/>
        <w:right w:val="none" w:sz="0" w:space="0" w:color="auto"/>
      </w:divBdr>
    </w:div>
    <w:div w:id="2125299076">
      <w:bodyDiv w:val="1"/>
      <w:marLeft w:val="0"/>
      <w:marRight w:val="0"/>
      <w:marTop w:val="0"/>
      <w:marBottom w:val="0"/>
      <w:divBdr>
        <w:top w:val="none" w:sz="0" w:space="0" w:color="auto"/>
        <w:left w:val="none" w:sz="0" w:space="0" w:color="auto"/>
        <w:bottom w:val="none" w:sz="0" w:space="0" w:color="auto"/>
        <w:right w:val="none" w:sz="0" w:space="0" w:color="auto"/>
      </w:divBdr>
    </w:div>
    <w:div w:id="2141066028">
      <w:bodyDiv w:val="1"/>
      <w:marLeft w:val="0"/>
      <w:marRight w:val="0"/>
      <w:marTop w:val="0"/>
      <w:marBottom w:val="0"/>
      <w:divBdr>
        <w:top w:val="none" w:sz="0" w:space="0" w:color="auto"/>
        <w:left w:val="none" w:sz="0" w:space="0" w:color="auto"/>
        <w:bottom w:val="none" w:sz="0" w:space="0" w:color="auto"/>
        <w:right w:val="none" w:sz="0" w:space="0" w:color="auto"/>
      </w:divBdr>
    </w:div>
    <w:div w:id="214410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yperlink" Target="https://www.naspovaluepoint.org/portfolios/" TargetMode="Externa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https://des.wa.gov/services/contracting-purchasing/policies-training/agency-contract-reporting/it-contracts-reporting" TargetMode="External"/><Relationship Id="rId17" Type="http://schemas.openxmlformats.org/officeDocument/2006/relationships/chart" Target="charts/chart5.xml"/><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diagramLayout" Target="diagrams/layout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filesext.leg.wa.gov/biennium/2021-22/Pdf/Bills/Senate%20Passed%20Legislature/5092-S.PL.pdf?=dbc2f"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microsoft.com/office/2007/relationships/diagramDrawing" Target="diagrams/drawing1.xml"/><Relationship Id="rId28" Type="http://schemas.openxmlformats.org/officeDocument/2006/relationships/chart" Target="charts/chart9.xml"/><Relationship Id="rId10" Type="http://schemas.openxmlformats.org/officeDocument/2006/relationships/hyperlink" Target="http://lawfilesext.leg.wa.gov/biennium/2021-22/Pdf/Bills/Senate%20Passed%20Legislature/5092-S.PL.pdf?=dbc2f" TargetMode="External"/><Relationship Id="rId19" Type="http://schemas.openxmlformats.org/officeDocument/2006/relationships/diagramData" Target="diagrams/data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s.wa.gov/services/contracting-purchasing/policies-training/agency-contract-reporting/it-contracts-reporting" TargetMode="External"/><Relationship Id="rId14" Type="http://schemas.openxmlformats.org/officeDocument/2006/relationships/chart" Target="charts/chart2.xml"/><Relationship Id="rId22" Type="http://schemas.openxmlformats.org/officeDocument/2006/relationships/diagramColors" Target="diagrams/colors1.xml"/><Relationship Id="rId27" Type="http://schemas.openxmlformats.org/officeDocument/2006/relationships/chart" Target="charts/chart8.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es.wa.lcl\doc\CPRM\BDO\MA\LegislativeReports\ITContractsProviso\2021\Analysis\FinalSubmission\ITContractsReportingAnalysis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es.wa.lcl\doc\CPRM\BDO\MA\LegislativeReports\ITContractsProviso\2021\Analysis\FinalSubmission\ITContractsReportingAnalysisFin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es.wa.lcl\doc\CPRM\BDO\MA\LegislativeReports\ITContractsProviso\2021\Analysis\FinalSubmission\ITContractsReportingAnalysisFin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es.wa.lcl\doc\CPRM\BDO\MA\LegislativeReports\ITContractsProviso\2021\Analysis\FinalSubmission\ITContractsReporting%20TABLES.Apptio.LastSubmiss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es.wa.lcl\doc\CPRM\BDO\MA\LegislativeReports\ITContractsProviso\2021\Analysis\FinalSubmission\ITContractsReportingAnalysisFina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watechfile.wa.lcl\watech\WATECH\OCIO\Programs\TBM-Portfolio\DES%20Proviso\2021\2021ExpenditureAnalysis-Tower-CostPoo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watechfile.wa.lcl\watech\WATECH\OCIO\Programs\TBM-Portfolio\DES%20Proviso\2021\2021ExpenditureAnalysis-Tower-CostPool.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watechfile.wa.lcl\watech\WATECH\OCIO\Programs\TBM-Portfolio\DES%20Proviso\2021\2021ExpenditureAnalysis_09-10-2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es.wa.lcl\doc\CPRM\BDO\MA\LegislativeReports\ITContractsProviso\2021\Analysis\FinalSubmission\ITContractsReporting%20TABLES.Apptio.LastSubmissio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latin typeface="+mn-lt"/>
                <a:cs typeface="Arial" panose="020B0604020202020204" pitchFamily="34" charset="0"/>
              </a:rPr>
              <a:t>Total Spend All FY's by Tower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TowerTotalsTable!$C$3</c:f>
              <c:strCache>
                <c:ptCount val="1"/>
                <c:pt idx="0">
                  <c:v>Total Spend All FY's</c:v>
                </c:pt>
              </c:strCache>
            </c:strRef>
          </c:tx>
          <c:spPr>
            <a:solidFill>
              <a:schemeClr val="accent1"/>
            </a:solidFill>
            <a:ln>
              <a:noFill/>
            </a:ln>
            <a:effectLst/>
          </c:spPr>
          <c:invertIfNegative val="0"/>
          <c:dLbls>
            <c:dLbl>
              <c:idx val="2"/>
              <c:layout>
                <c:manualLayout>
                  <c:x val="-2.136752136752137E-3"/>
                  <c:y val="-4.87621905476369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23-46C8-ACDC-F5B59443E9B2}"/>
                </c:ext>
              </c:extLst>
            </c:dLbl>
            <c:dLbl>
              <c:idx val="6"/>
              <c:layout>
                <c:manualLayout>
                  <c:x val="0"/>
                  <c:y val="-4.87621905476369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23-46C8-ACDC-F5B59443E9B2}"/>
                </c:ext>
              </c:extLst>
            </c:dLbl>
            <c:dLbl>
              <c:idx val="8"/>
              <c:layout>
                <c:manualLayout>
                  <c:x val="-7.8346673280123027E-17"/>
                  <c:y val="-3.37584396099026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A23-46C8-ACDC-F5B59443E9B2}"/>
                </c:ext>
              </c:extLst>
            </c:dLbl>
            <c:dLbl>
              <c:idx val="10"/>
              <c:layout>
                <c:manualLayout>
                  <c:x val="-2.1367521367522935E-3"/>
                  <c:y val="-5.62640660165041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A23-46C8-ACDC-F5B59443E9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TowerTotalsTable!$B$4:$B$15</c:f>
              <c:strCache>
                <c:ptCount val="12"/>
                <c:pt idx="0">
                  <c:v>Application</c:v>
                </c:pt>
                <c:pt idx="1">
                  <c:v>Compute</c:v>
                </c:pt>
                <c:pt idx="2">
                  <c:v>Data Center</c:v>
                </c:pt>
                <c:pt idx="3">
                  <c:v>Delivery</c:v>
                </c:pt>
                <c:pt idx="4">
                  <c:v>End User</c:v>
                </c:pt>
                <c:pt idx="5">
                  <c:v>IT Management</c:v>
                </c:pt>
                <c:pt idx="6">
                  <c:v>Network</c:v>
                </c:pt>
                <c:pt idx="7">
                  <c:v>Output</c:v>
                </c:pt>
                <c:pt idx="8">
                  <c:v>Platform</c:v>
                </c:pt>
                <c:pt idx="9">
                  <c:v>Security</c:v>
                </c:pt>
                <c:pt idx="10">
                  <c:v>Storage</c:v>
                </c:pt>
                <c:pt idx="11">
                  <c:v>Other/Non-IT</c:v>
                </c:pt>
              </c:strCache>
            </c:strRef>
          </c:cat>
          <c:val>
            <c:numRef>
              <c:f>TowerTotalsTable!$C$4:$C$15</c:f>
              <c:numCache>
                <c:formatCode>_("$"* #,##0_);_("$"* \(#,##0\);_("$"* "-"??_);_(@_)</c:formatCode>
                <c:ptCount val="12"/>
                <c:pt idx="0">
                  <c:v>2602447618.4944429</c:v>
                </c:pt>
                <c:pt idx="1">
                  <c:v>321528425.28610784</c:v>
                </c:pt>
                <c:pt idx="2">
                  <c:v>657053890.32300055</c:v>
                </c:pt>
                <c:pt idx="3">
                  <c:v>624175675.49783802</c:v>
                </c:pt>
                <c:pt idx="4">
                  <c:v>959945322.37956178</c:v>
                </c:pt>
                <c:pt idx="5">
                  <c:v>514779520.84454691</c:v>
                </c:pt>
                <c:pt idx="6">
                  <c:v>514779520.84454691</c:v>
                </c:pt>
                <c:pt idx="7">
                  <c:v>31837897.716499999</c:v>
                </c:pt>
                <c:pt idx="8">
                  <c:v>105061860.17118752</c:v>
                </c:pt>
                <c:pt idx="9">
                  <c:v>127687918.53190276</c:v>
                </c:pt>
                <c:pt idx="10">
                  <c:v>178825355.44171143</c:v>
                </c:pt>
                <c:pt idx="11">
                  <c:v>152547089.40913928</c:v>
                </c:pt>
              </c:numCache>
            </c:numRef>
          </c:val>
          <c:extLst>
            <c:ext xmlns:c16="http://schemas.microsoft.com/office/drawing/2014/chart" uri="{C3380CC4-5D6E-409C-BE32-E72D297353CC}">
              <c16:uniqueId val="{00000000-DA23-46C8-ACDC-F5B59443E9B2}"/>
            </c:ext>
          </c:extLst>
        </c:ser>
        <c:dLbls>
          <c:showLegendKey val="0"/>
          <c:showVal val="0"/>
          <c:showCatName val="0"/>
          <c:showSerName val="0"/>
          <c:showPercent val="0"/>
          <c:showBubbleSize val="0"/>
        </c:dLbls>
        <c:gapWidth val="219"/>
        <c:overlap val="-27"/>
        <c:axId val="766629064"/>
        <c:axId val="766630704"/>
      </c:barChart>
      <c:catAx>
        <c:axId val="766629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630704"/>
        <c:crosses val="autoZero"/>
        <c:auto val="1"/>
        <c:lblAlgn val="ctr"/>
        <c:lblOffset val="100"/>
        <c:noMultiLvlLbl val="0"/>
      </c:catAx>
      <c:valAx>
        <c:axId val="766630704"/>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629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 of Spend All FY's by Tower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TowerTotalsTable!$D$3</c:f>
              <c:strCache>
                <c:ptCount val="1"/>
                <c:pt idx="0">
                  <c:v>% of Spend All FY's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A36-4346-9017-6D823A1005A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A36-4346-9017-6D823A1005A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A36-4346-9017-6D823A1005A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A36-4346-9017-6D823A1005A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A36-4346-9017-6D823A1005A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A36-4346-9017-6D823A1005A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A36-4346-9017-6D823A1005A3}"/>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A36-4346-9017-6D823A1005A3}"/>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DA36-4346-9017-6D823A1005A3}"/>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DA36-4346-9017-6D823A1005A3}"/>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DA36-4346-9017-6D823A1005A3}"/>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DA36-4346-9017-6D823A1005A3}"/>
              </c:ext>
            </c:extLst>
          </c:dPt>
          <c:dLbls>
            <c:dLbl>
              <c:idx val="6"/>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DA36-4346-9017-6D823A1005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TowerTotalsTable!$B$4:$B$15</c:f>
              <c:strCache>
                <c:ptCount val="12"/>
                <c:pt idx="0">
                  <c:v>Application</c:v>
                </c:pt>
                <c:pt idx="1">
                  <c:v>Compute</c:v>
                </c:pt>
                <c:pt idx="2">
                  <c:v>Data Center</c:v>
                </c:pt>
                <c:pt idx="3">
                  <c:v>Delivery</c:v>
                </c:pt>
                <c:pt idx="4">
                  <c:v>End User</c:v>
                </c:pt>
                <c:pt idx="5">
                  <c:v>IT Management</c:v>
                </c:pt>
                <c:pt idx="6">
                  <c:v>Network</c:v>
                </c:pt>
                <c:pt idx="7">
                  <c:v>Output</c:v>
                </c:pt>
                <c:pt idx="8">
                  <c:v>Platform</c:v>
                </c:pt>
                <c:pt idx="9">
                  <c:v>Security</c:v>
                </c:pt>
                <c:pt idx="10">
                  <c:v>Storage</c:v>
                </c:pt>
                <c:pt idx="11">
                  <c:v>Other/Non-IT</c:v>
                </c:pt>
              </c:strCache>
            </c:strRef>
          </c:cat>
          <c:val>
            <c:numRef>
              <c:f>TowerTotalsTable!$D$4:$D$15</c:f>
              <c:numCache>
                <c:formatCode>0%</c:formatCode>
                <c:ptCount val="12"/>
                <c:pt idx="0">
                  <c:v>0.38323870576976554</c:v>
                </c:pt>
                <c:pt idx="1">
                  <c:v>4.7348556297215572E-2</c:v>
                </c:pt>
                <c:pt idx="2">
                  <c:v>9.6758328874281582E-2</c:v>
                </c:pt>
                <c:pt idx="3">
                  <c:v>9.1916654287607272E-2</c:v>
                </c:pt>
                <c:pt idx="4">
                  <c:v>0.14136238529608244</c:v>
                </c:pt>
                <c:pt idx="5">
                  <c:v>7.5806881154201977E-2</c:v>
                </c:pt>
                <c:pt idx="6">
                  <c:v>7.5806881154201977E-2</c:v>
                </c:pt>
                <c:pt idx="7">
                  <c:v>4.6884765820417937E-3</c:v>
                </c:pt>
                <c:pt idx="8">
                  <c:v>1.5471501148239522E-2</c:v>
                </c:pt>
                <c:pt idx="9">
                  <c:v>1.8803434233543311E-2</c:v>
                </c:pt>
                <c:pt idx="10">
                  <c:v>2.6333977787398113E-2</c:v>
                </c:pt>
                <c:pt idx="11">
                  <c:v>2.2464217415420797E-2</c:v>
                </c:pt>
              </c:numCache>
            </c:numRef>
          </c:val>
          <c:extLst>
            <c:ext xmlns:c16="http://schemas.microsoft.com/office/drawing/2014/chart" uri="{C3380CC4-5D6E-409C-BE32-E72D297353CC}">
              <c16:uniqueId val="{00000018-DA36-4346-9017-6D823A1005A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Total Contracts by Tower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TowerTotalsTable!$E$3</c:f>
              <c:strCache>
                <c:ptCount val="1"/>
                <c:pt idx="0">
                  <c:v>Total Contracts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TowerTotalsTable!$B$4:$B$15</c:f>
              <c:strCache>
                <c:ptCount val="12"/>
                <c:pt idx="0">
                  <c:v>Application</c:v>
                </c:pt>
                <c:pt idx="1">
                  <c:v>Compute</c:v>
                </c:pt>
                <c:pt idx="2">
                  <c:v>Data Center</c:v>
                </c:pt>
                <c:pt idx="3">
                  <c:v>Delivery</c:v>
                </c:pt>
                <c:pt idx="4">
                  <c:v>End User</c:v>
                </c:pt>
                <c:pt idx="5">
                  <c:v>IT Management</c:v>
                </c:pt>
                <c:pt idx="6">
                  <c:v>Network</c:v>
                </c:pt>
                <c:pt idx="7">
                  <c:v>Output</c:v>
                </c:pt>
                <c:pt idx="8">
                  <c:v>Platform</c:v>
                </c:pt>
                <c:pt idx="9">
                  <c:v>Security</c:v>
                </c:pt>
                <c:pt idx="10">
                  <c:v>Storage</c:v>
                </c:pt>
                <c:pt idx="11">
                  <c:v>Other/Non-IT</c:v>
                </c:pt>
              </c:strCache>
            </c:strRef>
          </c:cat>
          <c:val>
            <c:numRef>
              <c:f>TowerTotalsTable!$E$4:$E$15</c:f>
              <c:numCache>
                <c:formatCode>_(* #,##0_);_(* \(#,##0\);_(* "-"??_);_(@_)</c:formatCode>
                <c:ptCount val="12"/>
                <c:pt idx="0">
                  <c:v>3295</c:v>
                </c:pt>
                <c:pt idx="1">
                  <c:v>1340</c:v>
                </c:pt>
                <c:pt idx="2">
                  <c:v>879</c:v>
                </c:pt>
                <c:pt idx="3">
                  <c:v>1435</c:v>
                </c:pt>
                <c:pt idx="4">
                  <c:v>2717</c:v>
                </c:pt>
                <c:pt idx="5">
                  <c:v>597</c:v>
                </c:pt>
                <c:pt idx="6">
                  <c:v>1791</c:v>
                </c:pt>
                <c:pt idx="7">
                  <c:v>327</c:v>
                </c:pt>
                <c:pt idx="8">
                  <c:v>835</c:v>
                </c:pt>
                <c:pt idx="9">
                  <c:v>875</c:v>
                </c:pt>
                <c:pt idx="10">
                  <c:v>785</c:v>
                </c:pt>
                <c:pt idx="11">
                  <c:v>278</c:v>
                </c:pt>
              </c:numCache>
            </c:numRef>
          </c:val>
          <c:extLst>
            <c:ext xmlns:c16="http://schemas.microsoft.com/office/drawing/2014/chart" uri="{C3380CC4-5D6E-409C-BE32-E72D297353CC}">
              <c16:uniqueId val="{00000000-3348-4505-A114-33B124B860A5}"/>
            </c:ext>
          </c:extLst>
        </c:ser>
        <c:dLbls>
          <c:showLegendKey val="0"/>
          <c:showVal val="0"/>
          <c:showCatName val="0"/>
          <c:showSerName val="0"/>
          <c:showPercent val="0"/>
          <c:showBubbleSize val="0"/>
        </c:dLbls>
        <c:gapWidth val="219"/>
        <c:overlap val="-27"/>
        <c:axId val="735187296"/>
        <c:axId val="735191560"/>
      </c:barChart>
      <c:catAx>
        <c:axId val="73518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5191560"/>
        <c:crosses val="autoZero"/>
        <c:auto val="1"/>
        <c:lblAlgn val="ctr"/>
        <c:lblOffset val="100"/>
        <c:noMultiLvlLbl val="0"/>
      </c:catAx>
      <c:valAx>
        <c:axId val="73519156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5187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 of Contracts by Tower</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TowerTotalsTable!$F$3</c:f>
              <c:strCache>
                <c:ptCount val="1"/>
                <c:pt idx="0">
                  <c:v>% of Contracts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E02-47A4-99F5-AE238BCE60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E02-47A4-99F5-AE238BCE60D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E02-47A4-99F5-AE238BCE60D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E02-47A4-99F5-AE238BCE60D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E02-47A4-99F5-AE238BCE60D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E02-47A4-99F5-AE238BCE60D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E02-47A4-99F5-AE238BCE60D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E02-47A4-99F5-AE238BCE60D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DE02-47A4-99F5-AE238BCE60D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DE02-47A4-99F5-AE238BCE60DC}"/>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DE02-47A4-99F5-AE238BCE60DC}"/>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DE02-47A4-99F5-AE238BCE60D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TowerTotalsTable!$B$4:$B$15</c:f>
              <c:strCache>
                <c:ptCount val="12"/>
                <c:pt idx="0">
                  <c:v>Application</c:v>
                </c:pt>
                <c:pt idx="1">
                  <c:v>Compute</c:v>
                </c:pt>
                <c:pt idx="2">
                  <c:v>Data Center</c:v>
                </c:pt>
                <c:pt idx="3">
                  <c:v>Delivery</c:v>
                </c:pt>
                <c:pt idx="4">
                  <c:v>End User</c:v>
                </c:pt>
                <c:pt idx="5">
                  <c:v>IT Management</c:v>
                </c:pt>
                <c:pt idx="6">
                  <c:v>Network</c:v>
                </c:pt>
                <c:pt idx="7">
                  <c:v>Output</c:v>
                </c:pt>
                <c:pt idx="8">
                  <c:v>Platform</c:v>
                </c:pt>
                <c:pt idx="9">
                  <c:v>Security</c:v>
                </c:pt>
                <c:pt idx="10">
                  <c:v>Storage</c:v>
                </c:pt>
                <c:pt idx="11">
                  <c:v>Other/Non-IT</c:v>
                </c:pt>
              </c:strCache>
            </c:strRef>
          </c:cat>
          <c:val>
            <c:numRef>
              <c:f>TowerTotalsTable!$F$4:$F$15</c:f>
              <c:numCache>
                <c:formatCode>0%</c:formatCode>
                <c:ptCount val="12"/>
                <c:pt idx="0">
                  <c:v>0.21743434076811402</c:v>
                </c:pt>
                <c:pt idx="1">
                  <c:v>8.8425498218292195E-2</c:v>
                </c:pt>
                <c:pt idx="2">
                  <c:v>5.8004487264088689E-2</c:v>
                </c:pt>
                <c:pt idx="3">
                  <c:v>9.4694470106902462E-2</c:v>
                </c:pt>
                <c:pt idx="4">
                  <c:v>0.17929259601425365</c:v>
                </c:pt>
                <c:pt idx="5">
                  <c:v>3.9395539131582419E-2</c:v>
                </c:pt>
                <c:pt idx="6">
                  <c:v>0.11818661739474726</c:v>
                </c:pt>
                <c:pt idx="7">
                  <c:v>2.1578461132374292E-2</c:v>
                </c:pt>
                <c:pt idx="8">
                  <c:v>5.5100963441995512E-2</c:v>
                </c:pt>
                <c:pt idx="9">
                  <c:v>5.7740530552989312E-2</c:v>
                </c:pt>
                <c:pt idx="10">
                  <c:v>5.1801504553253268E-2</c:v>
                </c:pt>
                <c:pt idx="11">
                  <c:v>1.834499142140689E-2</c:v>
                </c:pt>
              </c:numCache>
            </c:numRef>
          </c:val>
          <c:extLst>
            <c:ext xmlns:c16="http://schemas.microsoft.com/office/drawing/2014/chart" uri="{C3380CC4-5D6E-409C-BE32-E72D297353CC}">
              <c16:uniqueId val="{00000018-DE02-47A4-99F5-AE238BCE60D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IT</a:t>
            </a:r>
            <a:r>
              <a:rPr lang="en-US" b="1" baseline="0"/>
              <a:t> Tower Total Spend compared to the number of Contracts by Tower</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TowerTotalsTable!$D$3</c:f>
              <c:strCache>
                <c:ptCount val="1"/>
                <c:pt idx="0">
                  <c:v>% of Spend All FY's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TowerTotalsTable!$B$4:$B$15</c:f>
              <c:strCache>
                <c:ptCount val="12"/>
                <c:pt idx="0">
                  <c:v>Application</c:v>
                </c:pt>
                <c:pt idx="1">
                  <c:v>Compute</c:v>
                </c:pt>
                <c:pt idx="2">
                  <c:v>Data Center</c:v>
                </c:pt>
                <c:pt idx="3">
                  <c:v>Delivery</c:v>
                </c:pt>
                <c:pt idx="4">
                  <c:v>End User</c:v>
                </c:pt>
                <c:pt idx="5">
                  <c:v>IT Management</c:v>
                </c:pt>
                <c:pt idx="6">
                  <c:v>Network</c:v>
                </c:pt>
                <c:pt idx="7">
                  <c:v>Output</c:v>
                </c:pt>
                <c:pt idx="8">
                  <c:v>Platform</c:v>
                </c:pt>
                <c:pt idx="9">
                  <c:v>Security</c:v>
                </c:pt>
                <c:pt idx="10">
                  <c:v>Storage</c:v>
                </c:pt>
                <c:pt idx="11">
                  <c:v>Other/Non-IT</c:v>
                </c:pt>
              </c:strCache>
            </c:strRef>
          </c:cat>
          <c:val>
            <c:numRef>
              <c:f>TowerTotalsTable!$D$4:$D$15</c:f>
              <c:numCache>
                <c:formatCode>0%</c:formatCode>
                <c:ptCount val="12"/>
                <c:pt idx="0">
                  <c:v>0.38323870576976554</c:v>
                </c:pt>
                <c:pt idx="1">
                  <c:v>4.7348556297215572E-2</c:v>
                </c:pt>
                <c:pt idx="2">
                  <c:v>9.6758328874281582E-2</c:v>
                </c:pt>
                <c:pt idx="3">
                  <c:v>9.1916654287607272E-2</c:v>
                </c:pt>
                <c:pt idx="4">
                  <c:v>0.14136238529608244</c:v>
                </c:pt>
                <c:pt idx="5">
                  <c:v>7.5806881154201977E-2</c:v>
                </c:pt>
                <c:pt idx="6">
                  <c:v>7.5806881154201977E-2</c:v>
                </c:pt>
                <c:pt idx="7">
                  <c:v>4.6884765820417937E-3</c:v>
                </c:pt>
                <c:pt idx="8">
                  <c:v>1.5471501148239522E-2</c:v>
                </c:pt>
                <c:pt idx="9">
                  <c:v>1.8803434233543311E-2</c:v>
                </c:pt>
                <c:pt idx="10">
                  <c:v>2.6333977787398113E-2</c:v>
                </c:pt>
                <c:pt idx="11">
                  <c:v>2.2464217415420797E-2</c:v>
                </c:pt>
              </c:numCache>
            </c:numRef>
          </c:val>
          <c:extLst>
            <c:ext xmlns:c16="http://schemas.microsoft.com/office/drawing/2014/chart" uri="{C3380CC4-5D6E-409C-BE32-E72D297353CC}">
              <c16:uniqueId val="{00000000-E5B9-42B1-BB33-6ABF1ED89BF0}"/>
            </c:ext>
          </c:extLst>
        </c:ser>
        <c:ser>
          <c:idx val="1"/>
          <c:order val="1"/>
          <c:tx>
            <c:strRef>
              <c:f>TowerTotalsTable!$F$3</c:f>
              <c:strCache>
                <c:ptCount val="1"/>
                <c:pt idx="0">
                  <c:v>% of Contracts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TowerTotalsTable!$B$4:$B$15</c:f>
              <c:strCache>
                <c:ptCount val="12"/>
                <c:pt idx="0">
                  <c:v>Application</c:v>
                </c:pt>
                <c:pt idx="1">
                  <c:v>Compute</c:v>
                </c:pt>
                <c:pt idx="2">
                  <c:v>Data Center</c:v>
                </c:pt>
                <c:pt idx="3">
                  <c:v>Delivery</c:v>
                </c:pt>
                <c:pt idx="4">
                  <c:v>End User</c:v>
                </c:pt>
                <c:pt idx="5">
                  <c:v>IT Management</c:v>
                </c:pt>
                <c:pt idx="6">
                  <c:v>Network</c:v>
                </c:pt>
                <c:pt idx="7">
                  <c:v>Output</c:v>
                </c:pt>
                <c:pt idx="8">
                  <c:v>Platform</c:v>
                </c:pt>
                <c:pt idx="9">
                  <c:v>Security</c:v>
                </c:pt>
                <c:pt idx="10">
                  <c:v>Storage</c:v>
                </c:pt>
                <c:pt idx="11">
                  <c:v>Other/Non-IT</c:v>
                </c:pt>
              </c:strCache>
            </c:strRef>
          </c:cat>
          <c:val>
            <c:numRef>
              <c:f>TowerTotalsTable!$F$4:$F$15</c:f>
              <c:numCache>
                <c:formatCode>0%</c:formatCode>
                <c:ptCount val="12"/>
                <c:pt idx="0">
                  <c:v>0.21743434076811402</c:v>
                </c:pt>
                <c:pt idx="1">
                  <c:v>8.8425498218292195E-2</c:v>
                </c:pt>
                <c:pt idx="2">
                  <c:v>5.8004487264088689E-2</c:v>
                </c:pt>
                <c:pt idx="3">
                  <c:v>9.4694470106902462E-2</c:v>
                </c:pt>
                <c:pt idx="4">
                  <c:v>0.17929259601425365</c:v>
                </c:pt>
                <c:pt idx="5">
                  <c:v>3.9395539131582419E-2</c:v>
                </c:pt>
                <c:pt idx="6">
                  <c:v>0.11818661739474726</c:v>
                </c:pt>
                <c:pt idx="7">
                  <c:v>2.1578461132374292E-2</c:v>
                </c:pt>
                <c:pt idx="8">
                  <c:v>5.5100963441995512E-2</c:v>
                </c:pt>
                <c:pt idx="9">
                  <c:v>5.7740530552989312E-2</c:v>
                </c:pt>
                <c:pt idx="10">
                  <c:v>5.1801504553253268E-2</c:v>
                </c:pt>
                <c:pt idx="11">
                  <c:v>1.834499142140689E-2</c:v>
                </c:pt>
              </c:numCache>
            </c:numRef>
          </c:val>
          <c:extLst>
            <c:ext xmlns:c16="http://schemas.microsoft.com/office/drawing/2014/chart" uri="{C3380CC4-5D6E-409C-BE32-E72D297353CC}">
              <c16:uniqueId val="{00000001-E5B9-42B1-BB33-6ABF1ED89BF0}"/>
            </c:ext>
          </c:extLst>
        </c:ser>
        <c:dLbls>
          <c:dLblPos val="outEnd"/>
          <c:showLegendKey val="0"/>
          <c:showVal val="1"/>
          <c:showCatName val="0"/>
          <c:showSerName val="0"/>
          <c:showPercent val="0"/>
          <c:showBubbleSize val="0"/>
        </c:dLbls>
        <c:gapWidth val="219"/>
        <c:overlap val="-27"/>
        <c:axId val="766622176"/>
        <c:axId val="766627096"/>
      </c:barChart>
      <c:catAx>
        <c:axId val="76662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627096"/>
        <c:crosses val="autoZero"/>
        <c:auto val="1"/>
        <c:lblAlgn val="ctr"/>
        <c:lblOffset val="100"/>
        <c:noMultiLvlLbl val="0"/>
      </c:catAx>
      <c:valAx>
        <c:axId val="766627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622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FY21 Spend by Cost Pool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FY21SpendByCostPool!$B$2</c:f>
              <c:strCache>
                <c:ptCount val="1"/>
                <c:pt idx="0">
                  <c:v>Current Period : Cost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FY21SpendByCostPool!$A$3:$A$11</c:f>
              <c:strCache>
                <c:ptCount val="9"/>
                <c:pt idx="0">
                  <c:v>Internal Labor</c:v>
                </c:pt>
                <c:pt idx="1">
                  <c:v>Software</c:v>
                </c:pt>
                <c:pt idx="2">
                  <c:v>Hardware</c:v>
                </c:pt>
                <c:pt idx="3">
                  <c:v>Outside Services</c:v>
                </c:pt>
                <c:pt idx="4">
                  <c:v>Internal Services</c:v>
                </c:pt>
                <c:pt idx="5">
                  <c:v>External Labor</c:v>
                </c:pt>
                <c:pt idx="6">
                  <c:v>Telecom</c:v>
                </c:pt>
                <c:pt idx="7">
                  <c:v>Facilities &amp; Power</c:v>
                </c:pt>
                <c:pt idx="8">
                  <c:v>Other</c:v>
                </c:pt>
              </c:strCache>
            </c:strRef>
          </c:cat>
          <c:val>
            <c:numRef>
              <c:f>FY21SpendByCostPool!$B$3:$B$11</c:f>
            </c:numRef>
          </c:val>
          <c:extLst>
            <c:ext xmlns:c16="http://schemas.microsoft.com/office/drawing/2014/chart" uri="{C3380CC4-5D6E-409C-BE32-E72D297353CC}">
              <c16:uniqueId val="{00000000-2D52-4E41-A63C-1FF6B0F3CF1C}"/>
            </c:ext>
          </c:extLst>
        </c:ser>
        <c:ser>
          <c:idx val="1"/>
          <c:order val="1"/>
          <c:tx>
            <c:strRef>
              <c:f>FY21SpendByCostPool!$C$2</c:f>
              <c:strCache>
                <c:ptCount val="1"/>
                <c:pt idx="0">
                  <c:v>Current Period : IT Acquisitions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FY21SpendByCostPool!$A$3:$A$11</c:f>
              <c:strCache>
                <c:ptCount val="9"/>
                <c:pt idx="0">
                  <c:v>Internal Labor</c:v>
                </c:pt>
                <c:pt idx="1">
                  <c:v>Software</c:v>
                </c:pt>
                <c:pt idx="2">
                  <c:v>Hardware</c:v>
                </c:pt>
                <c:pt idx="3">
                  <c:v>Outside Services</c:v>
                </c:pt>
                <c:pt idx="4">
                  <c:v>Internal Services</c:v>
                </c:pt>
                <c:pt idx="5">
                  <c:v>External Labor</c:v>
                </c:pt>
                <c:pt idx="6">
                  <c:v>Telecom</c:v>
                </c:pt>
                <c:pt idx="7">
                  <c:v>Facilities &amp; Power</c:v>
                </c:pt>
                <c:pt idx="8">
                  <c:v>Other</c:v>
                </c:pt>
              </c:strCache>
            </c:strRef>
          </c:cat>
          <c:val>
            <c:numRef>
              <c:f>FY21SpendByCostPool!$C$3:$C$11</c:f>
            </c:numRef>
          </c:val>
          <c:extLst>
            <c:ext xmlns:c16="http://schemas.microsoft.com/office/drawing/2014/chart" uri="{C3380CC4-5D6E-409C-BE32-E72D297353CC}">
              <c16:uniqueId val="{00000001-2D52-4E41-A63C-1FF6B0F3CF1C}"/>
            </c:ext>
          </c:extLst>
        </c:ser>
        <c:ser>
          <c:idx val="2"/>
          <c:order val="2"/>
          <c:tx>
            <c:strRef>
              <c:f>FY21SpendByCostPool!$D$2</c:f>
              <c:strCache>
                <c:ptCount val="1"/>
                <c:pt idx="0">
                  <c:v>Current Period : IT Maintenance and Operations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FY21SpendByCostPool!$A$3:$A$11</c:f>
              <c:strCache>
                <c:ptCount val="9"/>
                <c:pt idx="0">
                  <c:v>Internal Labor</c:v>
                </c:pt>
                <c:pt idx="1">
                  <c:v>Software</c:v>
                </c:pt>
                <c:pt idx="2">
                  <c:v>Hardware</c:v>
                </c:pt>
                <c:pt idx="3">
                  <c:v>Outside Services</c:v>
                </c:pt>
                <c:pt idx="4">
                  <c:v>Internal Services</c:v>
                </c:pt>
                <c:pt idx="5">
                  <c:v>External Labor</c:v>
                </c:pt>
                <c:pt idx="6">
                  <c:v>Telecom</c:v>
                </c:pt>
                <c:pt idx="7">
                  <c:v>Facilities &amp; Power</c:v>
                </c:pt>
                <c:pt idx="8">
                  <c:v>Other</c:v>
                </c:pt>
              </c:strCache>
            </c:strRef>
          </c:cat>
          <c:val>
            <c:numRef>
              <c:f>FY21SpendByCostPool!$D$3:$D$11</c:f>
            </c:numRef>
          </c:val>
          <c:extLst>
            <c:ext xmlns:c16="http://schemas.microsoft.com/office/drawing/2014/chart" uri="{C3380CC4-5D6E-409C-BE32-E72D297353CC}">
              <c16:uniqueId val="{00000002-2D52-4E41-A63C-1FF6B0F3CF1C}"/>
            </c:ext>
          </c:extLst>
        </c:ser>
        <c:ser>
          <c:idx val="3"/>
          <c:order val="3"/>
          <c:tx>
            <c:strRef>
              <c:f>FY21SpendByCostPool!$E$2</c:f>
              <c:strCache>
                <c:ptCount val="1"/>
                <c:pt idx="0">
                  <c:v>Current Period : Data Processing Interagency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FY21SpendByCostPool!$A$3:$A$11</c:f>
              <c:strCache>
                <c:ptCount val="9"/>
                <c:pt idx="0">
                  <c:v>Internal Labor</c:v>
                </c:pt>
                <c:pt idx="1">
                  <c:v>Software</c:v>
                </c:pt>
                <c:pt idx="2">
                  <c:v>Hardware</c:v>
                </c:pt>
                <c:pt idx="3">
                  <c:v>Outside Services</c:v>
                </c:pt>
                <c:pt idx="4">
                  <c:v>Internal Services</c:v>
                </c:pt>
                <c:pt idx="5">
                  <c:v>External Labor</c:v>
                </c:pt>
                <c:pt idx="6">
                  <c:v>Telecom</c:v>
                </c:pt>
                <c:pt idx="7">
                  <c:v>Facilities &amp; Power</c:v>
                </c:pt>
                <c:pt idx="8">
                  <c:v>Other</c:v>
                </c:pt>
              </c:strCache>
            </c:strRef>
          </c:cat>
          <c:val>
            <c:numRef>
              <c:f>FY21SpendByCostPool!$E$3:$E$11</c:f>
            </c:numRef>
          </c:val>
          <c:extLst>
            <c:ext xmlns:c16="http://schemas.microsoft.com/office/drawing/2014/chart" uri="{C3380CC4-5D6E-409C-BE32-E72D297353CC}">
              <c16:uniqueId val="{00000003-2D52-4E41-A63C-1FF6B0F3CF1C}"/>
            </c:ext>
          </c:extLst>
        </c:ser>
        <c:ser>
          <c:idx val="4"/>
          <c:order val="4"/>
          <c:tx>
            <c:strRef>
              <c:f>FY21SpendByCostPool!$F$2</c:f>
              <c:strCache>
                <c:ptCount val="1"/>
                <c:pt idx="0">
                  <c:v>Current Period : Unmarked IT Spend</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FY21SpendByCostPool!$A$3:$A$11</c:f>
              <c:strCache>
                <c:ptCount val="9"/>
                <c:pt idx="0">
                  <c:v>Internal Labor</c:v>
                </c:pt>
                <c:pt idx="1">
                  <c:v>Software</c:v>
                </c:pt>
                <c:pt idx="2">
                  <c:v>Hardware</c:v>
                </c:pt>
                <c:pt idx="3">
                  <c:v>Outside Services</c:v>
                </c:pt>
                <c:pt idx="4">
                  <c:v>Internal Services</c:v>
                </c:pt>
                <c:pt idx="5">
                  <c:v>External Labor</c:v>
                </c:pt>
                <c:pt idx="6">
                  <c:v>Telecom</c:v>
                </c:pt>
                <c:pt idx="7">
                  <c:v>Facilities &amp; Power</c:v>
                </c:pt>
                <c:pt idx="8">
                  <c:v>Other</c:v>
                </c:pt>
              </c:strCache>
            </c:strRef>
          </c:cat>
          <c:val>
            <c:numRef>
              <c:f>FY21SpendByCostPool!$F$3:$F$11</c:f>
            </c:numRef>
          </c:val>
          <c:extLst>
            <c:ext xmlns:c16="http://schemas.microsoft.com/office/drawing/2014/chart" uri="{C3380CC4-5D6E-409C-BE32-E72D297353CC}">
              <c16:uniqueId val="{00000004-2D52-4E41-A63C-1FF6B0F3CF1C}"/>
            </c:ext>
          </c:extLst>
        </c:ser>
        <c:ser>
          <c:idx val="5"/>
          <c:order val="5"/>
          <c:tx>
            <c:strRef>
              <c:f>FY21SpendByCostPool!$G$2</c:f>
              <c:strCache>
                <c:ptCount val="1"/>
                <c:pt idx="0">
                  <c:v>FY21 Total Cost</c:v>
                </c:pt>
              </c:strCache>
            </c:strRef>
          </c:tx>
          <c:spPr>
            <a:solidFill>
              <a:schemeClr val="accent1"/>
            </a:solidFill>
            <a:ln>
              <a:noFill/>
            </a:ln>
            <a:effectLst/>
          </c:spPr>
          <c:invertIfNegative val="0"/>
          <c:dLbls>
            <c:delete val="1"/>
          </c:dLbls>
          <c:cat>
            <c:strRef>
              <c:f>FY21SpendByCostPool!$A$3:$A$11</c:f>
              <c:strCache>
                <c:ptCount val="9"/>
                <c:pt idx="0">
                  <c:v>Internal Labor</c:v>
                </c:pt>
                <c:pt idx="1">
                  <c:v>Software</c:v>
                </c:pt>
                <c:pt idx="2">
                  <c:v>Hardware</c:v>
                </c:pt>
                <c:pt idx="3">
                  <c:v>Outside Services</c:v>
                </c:pt>
                <c:pt idx="4">
                  <c:v>Internal Services</c:v>
                </c:pt>
                <c:pt idx="5">
                  <c:v>External Labor</c:v>
                </c:pt>
                <c:pt idx="6">
                  <c:v>Telecom</c:v>
                </c:pt>
                <c:pt idx="7">
                  <c:v>Facilities &amp; Power</c:v>
                </c:pt>
                <c:pt idx="8">
                  <c:v>Other</c:v>
                </c:pt>
              </c:strCache>
            </c:strRef>
          </c:cat>
          <c:val>
            <c:numRef>
              <c:f>FY21SpendByCostPool!$G$3:$G$11</c:f>
              <c:numCache>
                <c:formatCode>[$$-409]#,##0;\([$$-409]#,##0\)</c:formatCode>
                <c:ptCount val="9"/>
                <c:pt idx="0">
                  <c:v>645088578.77999997</c:v>
                </c:pt>
                <c:pt idx="1">
                  <c:v>267323524.41000003</c:v>
                </c:pt>
                <c:pt idx="2">
                  <c:v>260533751.49000001</c:v>
                </c:pt>
                <c:pt idx="3">
                  <c:v>199011689.48000002</c:v>
                </c:pt>
                <c:pt idx="4">
                  <c:v>197494726.38</c:v>
                </c:pt>
                <c:pt idx="5">
                  <c:v>115539607.41</c:v>
                </c:pt>
                <c:pt idx="6">
                  <c:v>76893804.879999995</c:v>
                </c:pt>
                <c:pt idx="7">
                  <c:v>58360772.700000003</c:v>
                </c:pt>
                <c:pt idx="8">
                  <c:v>40217247.079999998</c:v>
                </c:pt>
              </c:numCache>
            </c:numRef>
          </c:val>
          <c:extLst>
            <c:ext xmlns:c16="http://schemas.microsoft.com/office/drawing/2014/chart" uri="{C3380CC4-5D6E-409C-BE32-E72D297353CC}">
              <c16:uniqueId val="{00000005-2D52-4E41-A63C-1FF6B0F3CF1C}"/>
            </c:ext>
          </c:extLst>
        </c:ser>
        <c:ser>
          <c:idx val="6"/>
          <c:order val="6"/>
          <c:tx>
            <c:strRef>
              <c:f>FY21SpendByCostPool!$H$2</c:f>
              <c:strCache>
                <c:ptCount val="1"/>
                <c:pt idx="0">
                  <c:v>FY21 Percent</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FY21SpendByCostPool!$A$3:$A$11</c:f>
              <c:strCache>
                <c:ptCount val="9"/>
                <c:pt idx="0">
                  <c:v>Internal Labor</c:v>
                </c:pt>
                <c:pt idx="1">
                  <c:v>Software</c:v>
                </c:pt>
                <c:pt idx="2">
                  <c:v>Hardware</c:v>
                </c:pt>
                <c:pt idx="3">
                  <c:v>Outside Services</c:v>
                </c:pt>
                <c:pt idx="4">
                  <c:v>Internal Services</c:v>
                </c:pt>
                <c:pt idx="5">
                  <c:v>External Labor</c:v>
                </c:pt>
                <c:pt idx="6">
                  <c:v>Telecom</c:v>
                </c:pt>
                <c:pt idx="7">
                  <c:v>Facilities &amp; Power</c:v>
                </c:pt>
                <c:pt idx="8">
                  <c:v>Other</c:v>
                </c:pt>
              </c:strCache>
            </c:strRef>
          </c:cat>
          <c:val>
            <c:numRef>
              <c:f>FY21SpendByCostPool!$H$3:$H$11</c:f>
              <c:numCache>
                <c:formatCode>0.0%</c:formatCode>
                <c:ptCount val="9"/>
                <c:pt idx="0">
                  <c:v>0.34673537456012743</c:v>
                </c:pt>
                <c:pt idx="1">
                  <c:v>0.14368650355015164</c:v>
                </c:pt>
                <c:pt idx="2">
                  <c:v>0.14003699783258519</c:v>
                </c:pt>
                <c:pt idx="3">
                  <c:v>0.10696886437548406</c:v>
                </c:pt>
                <c:pt idx="4">
                  <c:v>0.10615349608967881</c:v>
                </c:pt>
                <c:pt idx="5">
                  <c:v>6.2102586171346549E-2</c:v>
                </c:pt>
                <c:pt idx="6">
                  <c:v>4.133045152782476E-2</c:v>
                </c:pt>
                <c:pt idx="7">
                  <c:v>3.1368939161848235E-2</c:v>
                </c:pt>
                <c:pt idx="8">
                  <c:v>2.1616786730953248E-2</c:v>
                </c:pt>
              </c:numCache>
            </c:numRef>
          </c:val>
          <c:extLst>
            <c:ext xmlns:c16="http://schemas.microsoft.com/office/drawing/2014/chart" uri="{C3380CC4-5D6E-409C-BE32-E72D297353CC}">
              <c16:uniqueId val="{00000006-2D52-4E41-A63C-1FF6B0F3CF1C}"/>
            </c:ext>
          </c:extLst>
        </c:ser>
        <c:dLbls>
          <c:dLblPos val="inBase"/>
          <c:showLegendKey val="0"/>
          <c:showVal val="1"/>
          <c:showCatName val="0"/>
          <c:showSerName val="0"/>
          <c:showPercent val="0"/>
          <c:showBubbleSize val="0"/>
        </c:dLbls>
        <c:gapWidth val="150"/>
        <c:overlap val="100"/>
        <c:axId val="545477600"/>
        <c:axId val="545497152"/>
      </c:barChart>
      <c:catAx>
        <c:axId val="54547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5497152"/>
        <c:crosses val="autoZero"/>
        <c:auto val="1"/>
        <c:lblAlgn val="ctr"/>
        <c:lblOffset val="100"/>
        <c:noMultiLvlLbl val="0"/>
      </c:catAx>
      <c:valAx>
        <c:axId val="545497152"/>
        <c:scaling>
          <c:orientation val="minMax"/>
        </c:scaling>
        <c:delete val="0"/>
        <c:axPos val="l"/>
        <c:majorGridlines>
          <c:spPr>
            <a:ln w="9525" cap="flat" cmpd="sng" algn="ctr">
              <a:solidFill>
                <a:schemeClr val="tx1">
                  <a:lumMod val="15000"/>
                  <a:lumOff val="85000"/>
                </a:schemeClr>
              </a:solidFill>
              <a:round/>
            </a:ln>
            <a:effectLst/>
          </c:spPr>
        </c:majorGridlines>
        <c:numFmt formatCode="[$$-409]#,##0;\([$$-409]#,##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5477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FY21 Spend by IT Tower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FY21SpendByTower!$B$3</c:f>
              <c:strCache>
                <c:ptCount val="1"/>
                <c:pt idx="0">
                  <c:v>FY21 Cost</c:v>
                </c:pt>
              </c:strCache>
            </c:strRef>
          </c:tx>
          <c:spPr>
            <a:solidFill>
              <a:schemeClr val="accent1"/>
            </a:solidFill>
            <a:ln>
              <a:noFill/>
            </a:ln>
            <a:effectLst/>
          </c:spPr>
          <c:invertIfNegative val="0"/>
          <c:dLbls>
            <c:delete val="1"/>
          </c:dLbls>
          <c:cat>
            <c:strRef>
              <c:f>FY21SpendByTower!$A$4:$A$14</c:f>
              <c:strCache>
                <c:ptCount val="11"/>
                <c:pt idx="0">
                  <c:v>Application</c:v>
                </c:pt>
                <c:pt idx="1">
                  <c:v>End User</c:v>
                </c:pt>
                <c:pt idx="2">
                  <c:v>Network</c:v>
                </c:pt>
                <c:pt idx="3">
                  <c:v>IT Management</c:v>
                </c:pt>
                <c:pt idx="4">
                  <c:v>Delivery</c:v>
                </c:pt>
                <c:pt idx="5">
                  <c:v>Security &amp; Compliance</c:v>
                </c:pt>
                <c:pt idx="6">
                  <c:v>Compute</c:v>
                </c:pt>
                <c:pt idx="7">
                  <c:v>Data Center</c:v>
                </c:pt>
                <c:pt idx="8">
                  <c:v>Storage</c:v>
                </c:pt>
                <c:pt idx="9">
                  <c:v>Platform</c:v>
                </c:pt>
                <c:pt idx="10">
                  <c:v>Output</c:v>
                </c:pt>
              </c:strCache>
            </c:strRef>
          </c:cat>
          <c:val>
            <c:numRef>
              <c:f>FY21SpendByTower!$B$4:$B$14</c:f>
              <c:numCache>
                <c:formatCode>[$$-409]#,##0;\([$$-409]#,##0\)</c:formatCode>
                <c:ptCount val="11"/>
                <c:pt idx="0">
                  <c:v>472510519.00784022</c:v>
                </c:pt>
                <c:pt idx="1">
                  <c:v>208544145.42304856</c:v>
                </c:pt>
                <c:pt idx="2">
                  <c:v>176441494.91119969</c:v>
                </c:pt>
                <c:pt idx="3">
                  <c:v>109050978.52779101</c:v>
                </c:pt>
                <c:pt idx="4">
                  <c:v>94578837.999981821</c:v>
                </c:pt>
                <c:pt idx="5">
                  <c:v>71406105.874521986</c:v>
                </c:pt>
                <c:pt idx="6">
                  <c:v>63291016.196260542</c:v>
                </c:pt>
                <c:pt idx="7">
                  <c:v>49759821.568049446</c:v>
                </c:pt>
                <c:pt idx="8">
                  <c:v>33905553.375971459</c:v>
                </c:pt>
                <c:pt idx="9">
                  <c:v>32642748.529479548</c:v>
                </c:pt>
                <c:pt idx="10">
                  <c:v>4922433.9880688954</c:v>
                </c:pt>
              </c:numCache>
            </c:numRef>
          </c:val>
          <c:extLst>
            <c:ext xmlns:c16="http://schemas.microsoft.com/office/drawing/2014/chart" uri="{C3380CC4-5D6E-409C-BE32-E72D297353CC}">
              <c16:uniqueId val="{00000000-9452-4A4E-8D76-5C4AFF44853F}"/>
            </c:ext>
          </c:extLst>
        </c:ser>
        <c:ser>
          <c:idx val="1"/>
          <c:order val="1"/>
          <c:tx>
            <c:strRef>
              <c:f>FY21SpendByTower!$C$3</c:f>
              <c:strCache>
                <c:ptCount val="1"/>
                <c:pt idx="0">
                  <c:v>FY21 Percent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FY21SpendByTower!$A$4:$A$14</c:f>
              <c:strCache>
                <c:ptCount val="11"/>
                <c:pt idx="0">
                  <c:v>Application</c:v>
                </c:pt>
                <c:pt idx="1">
                  <c:v>End User</c:v>
                </c:pt>
                <c:pt idx="2">
                  <c:v>Network</c:v>
                </c:pt>
                <c:pt idx="3">
                  <c:v>IT Management</c:v>
                </c:pt>
                <c:pt idx="4">
                  <c:v>Delivery</c:v>
                </c:pt>
                <c:pt idx="5">
                  <c:v>Security &amp; Compliance</c:v>
                </c:pt>
                <c:pt idx="6">
                  <c:v>Compute</c:v>
                </c:pt>
                <c:pt idx="7">
                  <c:v>Data Center</c:v>
                </c:pt>
                <c:pt idx="8">
                  <c:v>Storage</c:v>
                </c:pt>
                <c:pt idx="9">
                  <c:v>Platform</c:v>
                </c:pt>
                <c:pt idx="10">
                  <c:v>Output</c:v>
                </c:pt>
              </c:strCache>
            </c:strRef>
          </c:cat>
          <c:val>
            <c:numRef>
              <c:f>FY21SpendByTower!$C$4:$C$14</c:f>
              <c:numCache>
                <c:formatCode>0.0%</c:formatCode>
                <c:ptCount val="11"/>
                <c:pt idx="0">
                  <c:v>0.3587633025197754</c:v>
                </c:pt>
                <c:pt idx="1">
                  <c:v>0.15834141955238837</c:v>
                </c:pt>
                <c:pt idx="2">
                  <c:v>0.13396682374137331</c:v>
                </c:pt>
                <c:pt idx="3">
                  <c:v>8.2799192030250351E-2</c:v>
                </c:pt>
                <c:pt idx="4">
                  <c:v>7.1810922517882181E-2</c:v>
                </c:pt>
                <c:pt idx="5">
                  <c:v>5.4216550390056344E-2</c:v>
                </c:pt>
                <c:pt idx="6">
                  <c:v>4.8055002115257171E-2</c:v>
                </c:pt>
                <c:pt idx="7">
                  <c:v>3.7781165075505878E-2</c:v>
                </c:pt>
                <c:pt idx="8">
                  <c:v>2.5743486787269187E-2</c:v>
                </c:pt>
                <c:pt idx="9">
                  <c:v>2.4784676308051267E-2</c:v>
                </c:pt>
                <c:pt idx="10">
                  <c:v>3.7374589621906032E-3</c:v>
                </c:pt>
              </c:numCache>
            </c:numRef>
          </c:val>
          <c:extLst>
            <c:ext xmlns:c16="http://schemas.microsoft.com/office/drawing/2014/chart" uri="{C3380CC4-5D6E-409C-BE32-E72D297353CC}">
              <c16:uniqueId val="{00000001-9452-4A4E-8D76-5C4AFF44853F}"/>
            </c:ext>
          </c:extLst>
        </c:ser>
        <c:dLbls>
          <c:dLblPos val="inBase"/>
          <c:showLegendKey val="0"/>
          <c:showVal val="1"/>
          <c:showCatName val="0"/>
          <c:showSerName val="0"/>
          <c:showPercent val="0"/>
          <c:showBubbleSize val="0"/>
        </c:dLbls>
        <c:gapWidth val="150"/>
        <c:overlap val="100"/>
        <c:axId val="545477600"/>
        <c:axId val="545497152"/>
      </c:barChart>
      <c:catAx>
        <c:axId val="54547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5497152"/>
        <c:crosses val="autoZero"/>
        <c:auto val="1"/>
        <c:lblAlgn val="ctr"/>
        <c:lblOffset val="100"/>
        <c:noMultiLvlLbl val="0"/>
      </c:catAx>
      <c:valAx>
        <c:axId val="545497152"/>
        <c:scaling>
          <c:orientation val="minMax"/>
        </c:scaling>
        <c:delete val="0"/>
        <c:axPos val="l"/>
        <c:majorGridlines>
          <c:spPr>
            <a:ln w="9525" cap="flat" cmpd="sng" algn="ctr">
              <a:solidFill>
                <a:schemeClr val="tx1">
                  <a:lumMod val="15000"/>
                  <a:lumOff val="85000"/>
                </a:schemeClr>
              </a:solidFill>
              <a:round/>
            </a:ln>
            <a:effectLst/>
          </c:spPr>
        </c:majorGridlines>
        <c:numFmt formatCode="[$$-409]#,##0;\([$$-409]#,##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5477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FY21 Spend by IT Technology Tower </a:t>
            </a:r>
          </a:p>
          <a:p>
            <a:pPr>
              <a:defRPr/>
            </a:pPr>
            <a:r>
              <a:rPr lang="en-US"/>
              <a:t>(minus Internal Labor)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FY21TowerWithoutInternalLabor!$G$2</c:f>
              <c:strCache>
                <c:ptCount val="1"/>
                <c:pt idx="0">
                  <c:v>FY21 Cost</c:v>
                </c:pt>
              </c:strCache>
            </c:strRef>
          </c:tx>
          <c:spPr>
            <a:solidFill>
              <a:schemeClr val="accent1"/>
            </a:solidFill>
            <a:ln>
              <a:noFill/>
            </a:ln>
            <a:effectLst/>
          </c:spPr>
          <c:invertIfNegative val="0"/>
          <c:dLbls>
            <c:delete val="1"/>
          </c:dLbls>
          <c:cat>
            <c:strRef>
              <c:f>FY21TowerWithoutInternalLabor!$F$3:$F$13</c:f>
              <c:strCache>
                <c:ptCount val="11"/>
                <c:pt idx="0">
                  <c:v>Application
</c:v>
                </c:pt>
                <c:pt idx="1">
                  <c:v>End User
</c:v>
                </c:pt>
                <c:pt idx="2">
                  <c:v>Network
</c:v>
                </c:pt>
                <c:pt idx="3">
                  <c:v>IT Management
</c:v>
                </c:pt>
                <c:pt idx="4">
                  <c:v>Security &amp; Compliance
</c:v>
                </c:pt>
                <c:pt idx="5">
                  <c:v>Compute
</c:v>
                </c:pt>
                <c:pt idx="6">
                  <c:v>Data Center
</c:v>
                </c:pt>
                <c:pt idx="7">
                  <c:v>Delivery
</c:v>
                </c:pt>
                <c:pt idx="8">
                  <c:v>Storage
</c:v>
                </c:pt>
                <c:pt idx="9">
                  <c:v>Platform
</c:v>
                </c:pt>
                <c:pt idx="10">
                  <c:v>Output
</c:v>
                </c:pt>
              </c:strCache>
            </c:strRef>
          </c:cat>
          <c:val>
            <c:numRef>
              <c:f>FY21TowerWithoutInternalLabor!$G$3:$G$13</c:f>
              <c:numCache>
                <c:formatCode>[$$-409]#,##0;\([$$-409]#,##0\)</c:formatCode>
                <c:ptCount val="11"/>
                <c:pt idx="0">
                  <c:v>319081731.14441907</c:v>
                </c:pt>
                <c:pt idx="1">
                  <c:v>150033201.45135757</c:v>
                </c:pt>
                <c:pt idx="2">
                  <c:v>142588658.15535527</c:v>
                </c:pt>
                <c:pt idx="3">
                  <c:v>46771584.626115508</c:v>
                </c:pt>
                <c:pt idx="4">
                  <c:v>46624303.18800652</c:v>
                </c:pt>
                <c:pt idx="5">
                  <c:v>44460086.184224807</c:v>
                </c:pt>
                <c:pt idx="6">
                  <c:v>44276909.255907297</c:v>
                </c:pt>
                <c:pt idx="7">
                  <c:v>41109564.554920807</c:v>
                </c:pt>
                <c:pt idx="8">
                  <c:v>27845418.945308253</c:v>
                </c:pt>
                <c:pt idx="9">
                  <c:v>20323947.68790077</c:v>
                </c:pt>
                <c:pt idx="10">
                  <c:v>3933302.3464840944</c:v>
                </c:pt>
              </c:numCache>
            </c:numRef>
          </c:val>
          <c:extLst>
            <c:ext xmlns:c16="http://schemas.microsoft.com/office/drawing/2014/chart" uri="{C3380CC4-5D6E-409C-BE32-E72D297353CC}">
              <c16:uniqueId val="{00000000-6E94-459F-A2B5-E79128EB0858}"/>
            </c:ext>
          </c:extLst>
        </c:ser>
        <c:ser>
          <c:idx val="1"/>
          <c:order val="1"/>
          <c:tx>
            <c:strRef>
              <c:f>FY21TowerWithoutInternalLabor!$H$2</c:f>
              <c:strCache>
                <c:ptCount val="1"/>
                <c:pt idx="0">
                  <c:v>FY21 Percent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FY21TowerWithoutInternalLabor!$F$3:$F$13</c:f>
              <c:strCache>
                <c:ptCount val="11"/>
                <c:pt idx="0">
                  <c:v>Application
</c:v>
                </c:pt>
                <c:pt idx="1">
                  <c:v>End User
</c:v>
                </c:pt>
                <c:pt idx="2">
                  <c:v>Network
</c:v>
                </c:pt>
                <c:pt idx="3">
                  <c:v>IT Management
</c:v>
                </c:pt>
                <c:pt idx="4">
                  <c:v>Security &amp; Compliance
</c:v>
                </c:pt>
                <c:pt idx="5">
                  <c:v>Compute
</c:v>
                </c:pt>
                <c:pt idx="6">
                  <c:v>Data Center
</c:v>
                </c:pt>
                <c:pt idx="7">
                  <c:v>Delivery
</c:v>
                </c:pt>
                <c:pt idx="8">
                  <c:v>Storage
</c:v>
                </c:pt>
                <c:pt idx="9">
                  <c:v>Platform
</c:v>
                </c:pt>
                <c:pt idx="10">
                  <c:v>Output
</c:v>
                </c:pt>
              </c:strCache>
            </c:strRef>
          </c:cat>
          <c:val>
            <c:numRef>
              <c:f>FY21TowerWithoutInternalLabor!$H$3:$H$13</c:f>
              <c:numCache>
                <c:formatCode>0.0%</c:formatCode>
                <c:ptCount val="11"/>
                <c:pt idx="0">
                  <c:v>0.3597116239865899</c:v>
                </c:pt>
                <c:pt idx="1">
                  <c:v>0.16913750076637371</c:v>
                </c:pt>
                <c:pt idx="2">
                  <c:v>0.16074501540145186</c:v>
                </c:pt>
                <c:pt idx="3">
                  <c:v>5.2727188742345825E-2</c:v>
                </c:pt>
                <c:pt idx="4">
                  <c:v>5.2561153397435133E-2</c:v>
                </c:pt>
                <c:pt idx="5">
                  <c:v>5.0121358394764302E-2</c:v>
                </c:pt>
                <c:pt idx="6">
                  <c:v>4.9914856850079674E-2</c:v>
                </c:pt>
                <c:pt idx="7">
                  <c:v>4.6344202077614811E-2</c:v>
                </c:pt>
                <c:pt idx="8">
                  <c:v>3.1391082258076124E-2</c:v>
                </c:pt>
                <c:pt idx="9">
                  <c:v>2.291187340125209E-2</c:v>
                </c:pt>
                <c:pt idx="10">
                  <c:v>4.4341447240164407E-3</c:v>
                </c:pt>
              </c:numCache>
            </c:numRef>
          </c:val>
          <c:extLst>
            <c:ext xmlns:c16="http://schemas.microsoft.com/office/drawing/2014/chart" uri="{C3380CC4-5D6E-409C-BE32-E72D297353CC}">
              <c16:uniqueId val="{00000001-6E94-459F-A2B5-E79128EB0858}"/>
            </c:ext>
          </c:extLst>
        </c:ser>
        <c:dLbls>
          <c:dLblPos val="inBase"/>
          <c:showLegendKey val="0"/>
          <c:showVal val="1"/>
          <c:showCatName val="0"/>
          <c:showSerName val="0"/>
          <c:showPercent val="0"/>
          <c:showBubbleSize val="0"/>
        </c:dLbls>
        <c:gapWidth val="150"/>
        <c:overlap val="100"/>
        <c:axId val="545477600"/>
        <c:axId val="545497152"/>
      </c:barChart>
      <c:catAx>
        <c:axId val="54547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5497152"/>
        <c:crosses val="autoZero"/>
        <c:auto val="1"/>
        <c:lblAlgn val="ctr"/>
        <c:lblOffset val="100"/>
        <c:noMultiLvlLbl val="0"/>
      </c:catAx>
      <c:valAx>
        <c:axId val="545497152"/>
        <c:scaling>
          <c:orientation val="minMax"/>
        </c:scaling>
        <c:delete val="0"/>
        <c:axPos val="l"/>
        <c:majorGridlines>
          <c:spPr>
            <a:ln w="9525" cap="flat" cmpd="sng" algn="ctr">
              <a:solidFill>
                <a:schemeClr val="tx1">
                  <a:lumMod val="15000"/>
                  <a:lumOff val="85000"/>
                </a:schemeClr>
              </a:solidFill>
              <a:round/>
            </a:ln>
            <a:effectLst/>
          </c:spPr>
        </c:majorGridlines>
        <c:numFmt formatCode="[$$-409]#,##0;\([$$-409]#,##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5477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IT Comparison</a:t>
            </a:r>
            <a:r>
              <a:rPr lang="en-US" baseline="0"/>
              <a:t> - IT Contracts Report to Apptio</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'FY20&amp;21 Spend Comparison'!$C$3</c:f>
              <c:strCache>
                <c:ptCount val="1"/>
                <c:pt idx="0">
                  <c:v>Total Spend FY20&amp;21 Apptio</c:v>
                </c:pt>
              </c:strCache>
            </c:strRef>
          </c:tx>
          <c:spPr>
            <a:solidFill>
              <a:schemeClr val="accent1"/>
            </a:solidFill>
            <a:ln>
              <a:noFill/>
            </a:ln>
            <a:effectLst/>
          </c:spPr>
          <c:invertIfNegative val="0"/>
          <c:cat>
            <c:strRef>
              <c:f>'FY20&amp;21 Spend Comparison'!$B$4:$B$14</c:f>
              <c:strCache>
                <c:ptCount val="11"/>
                <c:pt idx="0">
                  <c:v>IT Tower: Security </c:v>
                </c:pt>
                <c:pt idx="1">
                  <c:v>IT Management </c:v>
                </c:pt>
                <c:pt idx="2">
                  <c:v>IT Tower: Network </c:v>
                </c:pt>
                <c:pt idx="3">
                  <c:v>IT Tower: Platform </c:v>
                </c:pt>
                <c:pt idx="4">
                  <c:v>IT Tower: Output </c:v>
                </c:pt>
                <c:pt idx="5">
                  <c:v>IT Tower: Storage </c:v>
                </c:pt>
                <c:pt idx="6">
                  <c:v>IT Tower: Compute </c:v>
                </c:pt>
                <c:pt idx="7">
                  <c:v>IT Tower: End User </c:v>
                </c:pt>
                <c:pt idx="8">
                  <c:v>IT Tower: Data Center </c:v>
                </c:pt>
                <c:pt idx="9">
                  <c:v>IT Tower: Application</c:v>
                </c:pt>
                <c:pt idx="10">
                  <c:v>IT Tower: Delivery </c:v>
                </c:pt>
              </c:strCache>
            </c:strRef>
          </c:cat>
          <c:val>
            <c:numRef>
              <c:f>'FY20&amp;21 Spend Comparison'!$C$4:$C$14</c:f>
              <c:numCache>
                <c:formatCode>_("$"* #,##0_);_("$"* \(#,##0\);_("$"* "-"??_);_(@_)</c:formatCode>
                <c:ptCount val="11"/>
                <c:pt idx="0">
                  <c:v>85338894.23792088</c:v>
                </c:pt>
                <c:pt idx="1">
                  <c:v>84764832.133811429</c:v>
                </c:pt>
                <c:pt idx="2">
                  <c:v>265397785.6690948</c:v>
                </c:pt>
                <c:pt idx="3">
                  <c:v>60915770.575552702</c:v>
                </c:pt>
                <c:pt idx="4">
                  <c:v>9614446.5590815116</c:v>
                </c:pt>
                <c:pt idx="5">
                  <c:v>55883212.32284452</c:v>
                </c:pt>
                <c:pt idx="6">
                  <c:v>98173712.056013823</c:v>
                </c:pt>
                <c:pt idx="7">
                  <c:v>267582185.77924427</c:v>
                </c:pt>
                <c:pt idx="8">
                  <c:v>88818967.049154386</c:v>
                </c:pt>
                <c:pt idx="9">
                  <c:v>513310735.06140542</c:v>
                </c:pt>
                <c:pt idx="10">
                  <c:v>69476010.366103709</c:v>
                </c:pt>
              </c:numCache>
            </c:numRef>
          </c:val>
          <c:extLst>
            <c:ext xmlns:c16="http://schemas.microsoft.com/office/drawing/2014/chart" uri="{C3380CC4-5D6E-409C-BE32-E72D297353CC}">
              <c16:uniqueId val="{00000000-93D5-453F-8497-B4899764C39A}"/>
            </c:ext>
          </c:extLst>
        </c:ser>
        <c:ser>
          <c:idx val="1"/>
          <c:order val="1"/>
          <c:tx>
            <c:strRef>
              <c:f>'FY20&amp;21 Spend Comparison'!$E$3</c:f>
              <c:strCache>
                <c:ptCount val="1"/>
                <c:pt idx="0">
                  <c:v>Total Spend FY20&amp;21 Agency Submitted</c:v>
                </c:pt>
              </c:strCache>
            </c:strRef>
          </c:tx>
          <c:spPr>
            <a:solidFill>
              <a:schemeClr val="accent2"/>
            </a:solidFill>
            <a:ln>
              <a:noFill/>
            </a:ln>
            <a:effectLst/>
          </c:spPr>
          <c:invertIfNegative val="0"/>
          <c:cat>
            <c:strRef>
              <c:f>'FY20&amp;21 Spend Comparison'!$B$4:$B$14</c:f>
              <c:strCache>
                <c:ptCount val="11"/>
                <c:pt idx="0">
                  <c:v>IT Tower: Security </c:v>
                </c:pt>
                <c:pt idx="1">
                  <c:v>IT Management </c:v>
                </c:pt>
                <c:pt idx="2">
                  <c:v>IT Tower: Network </c:v>
                </c:pt>
                <c:pt idx="3">
                  <c:v>IT Tower: Platform </c:v>
                </c:pt>
                <c:pt idx="4">
                  <c:v>IT Tower: Output </c:v>
                </c:pt>
                <c:pt idx="5">
                  <c:v>IT Tower: Storage </c:v>
                </c:pt>
                <c:pt idx="6">
                  <c:v>IT Tower: Compute </c:v>
                </c:pt>
                <c:pt idx="7">
                  <c:v>IT Tower: End User </c:v>
                </c:pt>
                <c:pt idx="8">
                  <c:v>IT Tower: Data Center </c:v>
                </c:pt>
                <c:pt idx="9">
                  <c:v>IT Tower: Application</c:v>
                </c:pt>
                <c:pt idx="10">
                  <c:v>IT Tower: Delivery </c:v>
                </c:pt>
              </c:strCache>
            </c:strRef>
          </c:cat>
          <c:val>
            <c:numRef>
              <c:f>'FY20&amp;21 Spend Comparison'!$E$4:$E$14</c:f>
              <c:numCache>
                <c:formatCode>_("$"* #,##0_);_("$"* \(#,##0\);_("$"* "-"??_);_(@_)</c:formatCode>
                <c:ptCount val="11"/>
                <c:pt idx="0">
                  <c:v>14702900.415902002</c:v>
                </c:pt>
                <c:pt idx="1">
                  <c:v>24172516.754591998</c:v>
                </c:pt>
                <c:pt idx="2">
                  <c:v>98515478.775233954</c:v>
                </c:pt>
                <c:pt idx="3">
                  <c:v>24146099.649100002</c:v>
                </c:pt>
                <c:pt idx="4">
                  <c:v>3967812.2574</c:v>
                </c:pt>
                <c:pt idx="5">
                  <c:v>31673635.010343999</c:v>
                </c:pt>
                <c:pt idx="6">
                  <c:v>66168426.897864014</c:v>
                </c:pt>
                <c:pt idx="7">
                  <c:v>214363275.74619806</c:v>
                </c:pt>
                <c:pt idx="8">
                  <c:v>78502939.84480001</c:v>
                </c:pt>
                <c:pt idx="9">
                  <c:v>494369312.01128608</c:v>
                </c:pt>
                <c:pt idx="10">
                  <c:v>136991248.78128001</c:v>
                </c:pt>
              </c:numCache>
            </c:numRef>
          </c:val>
          <c:extLst>
            <c:ext xmlns:c16="http://schemas.microsoft.com/office/drawing/2014/chart" uri="{C3380CC4-5D6E-409C-BE32-E72D297353CC}">
              <c16:uniqueId val="{00000001-93D5-453F-8497-B4899764C39A}"/>
            </c:ext>
          </c:extLst>
        </c:ser>
        <c:dLbls>
          <c:showLegendKey val="0"/>
          <c:showVal val="0"/>
          <c:showCatName val="0"/>
          <c:showSerName val="0"/>
          <c:showPercent val="0"/>
          <c:showBubbleSize val="0"/>
        </c:dLbls>
        <c:gapWidth val="219"/>
        <c:overlap val="-27"/>
        <c:axId val="2072891728"/>
        <c:axId val="2072895056"/>
      </c:barChart>
      <c:catAx>
        <c:axId val="207289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2895056"/>
        <c:crosses val="autoZero"/>
        <c:auto val="1"/>
        <c:lblAlgn val="ctr"/>
        <c:lblOffset val="100"/>
        <c:noMultiLvlLbl val="0"/>
      </c:catAx>
      <c:valAx>
        <c:axId val="2072895056"/>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2891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B8EEED-9C11-48E4-B5D1-4D392DFA68F9}" type="doc">
      <dgm:prSet loTypeId="urn:microsoft.com/office/officeart/2005/8/layout/hList1" loCatId="list" qsTypeId="urn:microsoft.com/office/officeart/2005/8/quickstyle/simple1" qsCatId="simple" csTypeId="urn:microsoft.com/office/officeart/2005/8/colors/accent0_3" csCatId="mainScheme" phldr="1"/>
      <dgm:spPr/>
      <dgm:t>
        <a:bodyPr/>
        <a:lstStyle/>
        <a:p>
          <a:endParaRPr lang="en-US"/>
        </a:p>
      </dgm:t>
    </dgm:pt>
    <dgm:pt modelId="{50811185-3518-4B15-936C-4C4F72BEF531}">
      <dgm:prSet phldrT="[Text]" custT="1"/>
      <dgm:spPr/>
      <dgm:t>
        <a:bodyPr/>
        <a:lstStyle/>
        <a:p>
          <a:r>
            <a:rPr lang="en-US" sz="1100" b="1"/>
            <a:t>Cost Pools</a:t>
          </a:r>
          <a:endParaRPr lang="en-US" sz="1100" b="0" i="1"/>
        </a:p>
      </dgm:t>
    </dgm:pt>
    <dgm:pt modelId="{AB454875-5547-4D94-A662-B023FA1C6BAC}" type="parTrans" cxnId="{7C5F5292-99B3-430E-A5CF-A624575C0127}">
      <dgm:prSet/>
      <dgm:spPr/>
      <dgm:t>
        <a:bodyPr/>
        <a:lstStyle/>
        <a:p>
          <a:endParaRPr lang="en-US"/>
        </a:p>
      </dgm:t>
    </dgm:pt>
    <dgm:pt modelId="{BD81E8B7-9B5C-4753-BBF9-E2BABFFB2E34}" type="sibTrans" cxnId="{7C5F5292-99B3-430E-A5CF-A624575C0127}">
      <dgm:prSet/>
      <dgm:spPr/>
      <dgm:t>
        <a:bodyPr/>
        <a:lstStyle/>
        <a:p>
          <a:endParaRPr lang="en-US"/>
        </a:p>
      </dgm:t>
    </dgm:pt>
    <dgm:pt modelId="{EBEFC561-0F3D-49CA-8E92-83D528ED98A8}">
      <dgm:prSet phldrT="[Text]" custT="1"/>
      <dgm:spPr/>
      <dgm:t>
        <a:bodyPr/>
        <a:lstStyle/>
        <a:p>
          <a:r>
            <a:rPr lang="en-US" sz="1100" b="1"/>
            <a:t>IT Technology Towers                     </a:t>
          </a:r>
          <a:endParaRPr lang="en-US" sz="1100" b="0" i="1"/>
        </a:p>
      </dgm:t>
    </dgm:pt>
    <dgm:pt modelId="{3A15DBC0-9FD5-4463-A002-708BBCF880BE}" type="parTrans" cxnId="{111F239D-3322-438C-8B22-B92B67984F0E}">
      <dgm:prSet/>
      <dgm:spPr/>
      <dgm:t>
        <a:bodyPr/>
        <a:lstStyle/>
        <a:p>
          <a:endParaRPr lang="en-US"/>
        </a:p>
      </dgm:t>
    </dgm:pt>
    <dgm:pt modelId="{6AF24F28-B196-4992-8220-4557DB87E273}" type="sibTrans" cxnId="{111F239D-3322-438C-8B22-B92B67984F0E}">
      <dgm:prSet/>
      <dgm:spPr/>
      <dgm:t>
        <a:bodyPr/>
        <a:lstStyle/>
        <a:p>
          <a:endParaRPr lang="en-US"/>
        </a:p>
      </dgm:t>
    </dgm:pt>
    <dgm:pt modelId="{9A5A5C48-6312-42AD-9E5E-61278617D6E3}">
      <dgm:prSet custT="1"/>
      <dgm:spPr/>
      <dgm:t>
        <a:bodyPr/>
        <a:lstStyle/>
        <a:p>
          <a:r>
            <a:rPr lang="en-US" sz="1100"/>
            <a:t>Facilities &amp; Power</a:t>
          </a:r>
        </a:p>
      </dgm:t>
    </dgm:pt>
    <dgm:pt modelId="{A0B9A075-CB4B-44B5-853F-EC704443F997}" type="parTrans" cxnId="{ADB7BA80-5DDE-48F4-A6FD-F44ECA265BAD}">
      <dgm:prSet/>
      <dgm:spPr/>
      <dgm:t>
        <a:bodyPr/>
        <a:lstStyle/>
        <a:p>
          <a:endParaRPr lang="en-US"/>
        </a:p>
      </dgm:t>
    </dgm:pt>
    <dgm:pt modelId="{4B7B3A72-D57B-4616-A2A5-6F189C4CBD11}" type="sibTrans" cxnId="{ADB7BA80-5DDE-48F4-A6FD-F44ECA265BAD}">
      <dgm:prSet/>
      <dgm:spPr/>
      <dgm:t>
        <a:bodyPr/>
        <a:lstStyle/>
        <a:p>
          <a:endParaRPr lang="en-US"/>
        </a:p>
      </dgm:t>
    </dgm:pt>
    <dgm:pt modelId="{1844B69F-A893-4F8D-8FCA-FAC611004FCA}">
      <dgm:prSet custT="1"/>
      <dgm:spPr/>
      <dgm:t>
        <a:bodyPr/>
        <a:lstStyle/>
        <a:p>
          <a:r>
            <a:rPr lang="en-US" sz="1100"/>
            <a:t>Hardware</a:t>
          </a:r>
        </a:p>
      </dgm:t>
    </dgm:pt>
    <dgm:pt modelId="{DE070533-37ED-428D-A10C-3F128CD14A87}" type="parTrans" cxnId="{C031CD45-6FE9-4B76-BACA-E3A005EF2A6C}">
      <dgm:prSet/>
      <dgm:spPr/>
      <dgm:t>
        <a:bodyPr/>
        <a:lstStyle/>
        <a:p>
          <a:endParaRPr lang="en-US"/>
        </a:p>
      </dgm:t>
    </dgm:pt>
    <dgm:pt modelId="{D1FD1E6F-B835-4B56-A753-D4A0F2D4EFEC}" type="sibTrans" cxnId="{C031CD45-6FE9-4B76-BACA-E3A005EF2A6C}">
      <dgm:prSet/>
      <dgm:spPr/>
      <dgm:t>
        <a:bodyPr/>
        <a:lstStyle/>
        <a:p>
          <a:endParaRPr lang="en-US"/>
        </a:p>
      </dgm:t>
    </dgm:pt>
    <dgm:pt modelId="{3D729976-142C-44EA-9411-86B3DD17EEBC}">
      <dgm:prSet custT="1"/>
      <dgm:spPr/>
      <dgm:t>
        <a:bodyPr/>
        <a:lstStyle/>
        <a:p>
          <a:r>
            <a:rPr lang="en-US" sz="1100"/>
            <a:t>Internal Labor</a:t>
          </a:r>
        </a:p>
      </dgm:t>
    </dgm:pt>
    <dgm:pt modelId="{2F14CD1E-16BB-4F27-AE45-F9875C44263E}" type="parTrans" cxnId="{0C7157E1-C690-4C48-B7B7-3723E9E6A273}">
      <dgm:prSet/>
      <dgm:spPr/>
      <dgm:t>
        <a:bodyPr/>
        <a:lstStyle/>
        <a:p>
          <a:endParaRPr lang="en-US"/>
        </a:p>
      </dgm:t>
    </dgm:pt>
    <dgm:pt modelId="{7C86BBFE-10A6-49CE-99FA-06CD82783935}" type="sibTrans" cxnId="{0C7157E1-C690-4C48-B7B7-3723E9E6A273}">
      <dgm:prSet/>
      <dgm:spPr/>
      <dgm:t>
        <a:bodyPr/>
        <a:lstStyle/>
        <a:p>
          <a:endParaRPr lang="en-US"/>
        </a:p>
      </dgm:t>
    </dgm:pt>
    <dgm:pt modelId="{A25F8DBE-E95A-4F9F-8C95-43211BB5DE6C}">
      <dgm:prSet custT="1"/>
      <dgm:spPr/>
      <dgm:t>
        <a:bodyPr/>
        <a:lstStyle/>
        <a:p>
          <a:r>
            <a:rPr lang="en-US" sz="1100"/>
            <a:t>Internal Services</a:t>
          </a:r>
        </a:p>
      </dgm:t>
    </dgm:pt>
    <dgm:pt modelId="{84059AAA-9578-4310-B7B4-09DE280DBF1E}" type="parTrans" cxnId="{28D0C91F-0975-4023-9C90-7BF1F47F5F2F}">
      <dgm:prSet/>
      <dgm:spPr/>
      <dgm:t>
        <a:bodyPr/>
        <a:lstStyle/>
        <a:p>
          <a:endParaRPr lang="en-US"/>
        </a:p>
      </dgm:t>
    </dgm:pt>
    <dgm:pt modelId="{7C04EA8E-CD12-4D61-AA0D-802D787679E0}" type="sibTrans" cxnId="{28D0C91F-0975-4023-9C90-7BF1F47F5F2F}">
      <dgm:prSet/>
      <dgm:spPr/>
      <dgm:t>
        <a:bodyPr/>
        <a:lstStyle/>
        <a:p>
          <a:endParaRPr lang="en-US"/>
        </a:p>
      </dgm:t>
    </dgm:pt>
    <dgm:pt modelId="{1C1DC5E1-84DE-4264-A6E7-FFDC5800831D}">
      <dgm:prSet custT="1"/>
      <dgm:spPr/>
      <dgm:t>
        <a:bodyPr/>
        <a:lstStyle/>
        <a:p>
          <a:r>
            <a:rPr lang="en-US" sz="1100"/>
            <a:t>Other</a:t>
          </a:r>
        </a:p>
      </dgm:t>
    </dgm:pt>
    <dgm:pt modelId="{32742800-7D2D-41DD-9D47-92D6948A201C}" type="parTrans" cxnId="{FDDF396C-0F94-4366-AE52-55231BA508CD}">
      <dgm:prSet/>
      <dgm:spPr/>
      <dgm:t>
        <a:bodyPr/>
        <a:lstStyle/>
        <a:p>
          <a:endParaRPr lang="en-US"/>
        </a:p>
      </dgm:t>
    </dgm:pt>
    <dgm:pt modelId="{B9E6C9A8-5EC0-4374-A70B-33493A7F1543}" type="sibTrans" cxnId="{FDDF396C-0F94-4366-AE52-55231BA508CD}">
      <dgm:prSet/>
      <dgm:spPr/>
      <dgm:t>
        <a:bodyPr/>
        <a:lstStyle/>
        <a:p>
          <a:endParaRPr lang="en-US"/>
        </a:p>
      </dgm:t>
    </dgm:pt>
    <dgm:pt modelId="{B87E114E-D57F-4A86-BA21-CC97546E3B18}">
      <dgm:prSet custT="1"/>
      <dgm:spPr/>
      <dgm:t>
        <a:bodyPr/>
        <a:lstStyle/>
        <a:p>
          <a:r>
            <a:rPr lang="en-US" sz="1100"/>
            <a:t>Outside Services</a:t>
          </a:r>
        </a:p>
      </dgm:t>
    </dgm:pt>
    <dgm:pt modelId="{30344959-EDEA-459E-8C2F-B21038C0FA41}" type="parTrans" cxnId="{66701BCD-005A-43D6-A6D9-61CF332D78EA}">
      <dgm:prSet/>
      <dgm:spPr/>
      <dgm:t>
        <a:bodyPr/>
        <a:lstStyle/>
        <a:p>
          <a:endParaRPr lang="en-US"/>
        </a:p>
      </dgm:t>
    </dgm:pt>
    <dgm:pt modelId="{E987CB6A-89A4-4760-A702-08CECE72BF6C}" type="sibTrans" cxnId="{66701BCD-005A-43D6-A6D9-61CF332D78EA}">
      <dgm:prSet/>
      <dgm:spPr/>
      <dgm:t>
        <a:bodyPr/>
        <a:lstStyle/>
        <a:p>
          <a:endParaRPr lang="en-US"/>
        </a:p>
      </dgm:t>
    </dgm:pt>
    <dgm:pt modelId="{FF064DBF-9FFB-4B62-A1C0-D5055A451781}">
      <dgm:prSet custT="1"/>
      <dgm:spPr/>
      <dgm:t>
        <a:bodyPr/>
        <a:lstStyle/>
        <a:p>
          <a:r>
            <a:rPr lang="en-US" sz="1100"/>
            <a:t>Software</a:t>
          </a:r>
        </a:p>
      </dgm:t>
    </dgm:pt>
    <dgm:pt modelId="{AEA5A6C6-851D-4A1E-9B27-09D40D5E3D30}" type="parTrans" cxnId="{1D6B88E5-713E-4D95-87E3-D5A050329DC5}">
      <dgm:prSet/>
      <dgm:spPr/>
      <dgm:t>
        <a:bodyPr/>
        <a:lstStyle/>
        <a:p>
          <a:endParaRPr lang="en-US"/>
        </a:p>
      </dgm:t>
    </dgm:pt>
    <dgm:pt modelId="{857D48F9-9BBE-40C3-A618-4662EACC0081}" type="sibTrans" cxnId="{1D6B88E5-713E-4D95-87E3-D5A050329DC5}">
      <dgm:prSet/>
      <dgm:spPr/>
      <dgm:t>
        <a:bodyPr/>
        <a:lstStyle/>
        <a:p>
          <a:endParaRPr lang="en-US"/>
        </a:p>
      </dgm:t>
    </dgm:pt>
    <dgm:pt modelId="{0FCAE679-C0AE-439F-9BEF-85044574F60A}">
      <dgm:prSet custT="1"/>
      <dgm:spPr/>
      <dgm:t>
        <a:bodyPr/>
        <a:lstStyle/>
        <a:p>
          <a:r>
            <a:rPr lang="en-US" sz="1100"/>
            <a:t>Telecom</a:t>
          </a:r>
        </a:p>
      </dgm:t>
    </dgm:pt>
    <dgm:pt modelId="{EB442BBF-6E1C-47BB-BE82-DEFDEB05E80A}" type="parTrans" cxnId="{3E693C88-22D9-4530-8A7A-BB96398468F3}">
      <dgm:prSet/>
      <dgm:spPr/>
      <dgm:t>
        <a:bodyPr/>
        <a:lstStyle/>
        <a:p>
          <a:endParaRPr lang="en-US"/>
        </a:p>
      </dgm:t>
    </dgm:pt>
    <dgm:pt modelId="{283F7EFF-C641-45DC-AEEA-298FCDDB6DBA}" type="sibTrans" cxnId="{3E693C88-22D9-4530-8A7A-BB96398468F3}">
      <dgm:prSet/>
      <dgm:spPr/>
      <dgm:t>
        <a:bodyPr/>
        <a:lstStyle/>
        <a:p>
          <a:endParaRPr lang="en-US"/>
        </a:p>
      </dgm:t>
    </dgm:pt>
    <dgm:pt modelId="{94A07531-86D3-4579-9C2E-EFF4C03ABFD4}">
      <dgm:prSet phldrT="[Text]" custT="1"/>
      <dgm:spPr/>
      <dgm:t>
        <a:bodyPr/>
        <a:lstStyle/>
        <a:p>
          <a:r>
            <a:rPr lang="en-US" sz="1100"/>
            <a:t>Application</a:t>
          </a:r>
        </a:p>
      </dgm:t>
    </dgm:pt>
    <dgm:pt modelId="{537FC909-51FA-4208-BBD3-75A1B7B81B0F}" type="parTrans" cxnId="{548B1479-29A8-41D0-9486-694EEA80AAB7}">
      <dgm:prSet/>
      <dgm:spPr/>
      <dgm:t>
        <a:bodyPr/>
        <a:lstStyle/>
        <a:p>
          <a:endParaRPr lang="en-US"/>
        </a:p>
      </dgm:t>
    </dgm:pt>
    <dgm:pt modelId="{498F48C4-CDD9-40A7-950C-BC8372E5D0DB}" type="sibTrans" cxnId="{548B1479-29A8-41D0-9486-694EEA80AAB7}">
      <dgm:prSet/>
      <dgm:spPr/>
      <dgm:t>
        <a:bodyPr/>
        <a:lstStyle/>
        <a:p>
          <a:endParaRPr lang="en-US"/>
        </a:p>
      </dgm:t>
    </dgm:pt>
    <dgm:pt modelId="{9B3742A6-DDDC-49FA-9A4A-820EB8EAB620}">
      <dgm:prSet custT="1"/>
      <dgm:spPr/>
      <dgm:t>
        <a:bodyPr/>
        <a:lstStyle/>
        <a:p>
          <a:r>
            <a:rPr lang="en-US" sz="1100"/>
            <a:t>Compute</a:t>
          </a:r>
        </a:p>
      </dgm:t>
    </dgm:pt>
    <dgm:pt modelId="{A1143CED-E25F-4D74-85AB-E57E754C0C30}" type="parTrans" cxnId="{4DA27988-F1FD-4A0F-B4EF-9E7B15FA1F80}">
      <dgm:prSet/>
      <dgm:spPr/>
      <dgm:t>
        <a:bodyPr/>
        <a:lstStyle/>
        <a:p>
          <a:endParaRPr lang="en-US"/>
        </a:p>
      </dgm:t>
    </dgm:pt>
    <dgm:pt modelId="{8EE0D36B-4884-46F1-BC72-32520CD8F885}" type="sibTrans" cxnId="{4DA27988-F1FD-4A0F-B4EF-9E7B15FA1F80}">
      <dgm:prSet/>
      <dgm:spPr/>
      <dgm:t>
        <a:bodyPr/>
        <a:lstStyle/>
        <a:p>
          <a:endParaRPr lang="en-US"/>
        </a:p>
      </dgm:t>
    </dgm:pt>
    <dgm:pt modelId="{C1A76819-123A-45EC-A3E2-F0163267142F}">
      <dgm:prSet custT="1"/>
      <dgm:spPr/>
      <dgm:t>
        <a:bodyPr/>
        <a:lstStyle/>
        <a:p>
          <a:r>
            <a:rPr lang="en-US" sz="1100"/>
            <a:t>Data Center</a:t>
          </a:r>
        </a:p>
      </dgm:t>
    </dgm:pt>
    <dgm:pt modelId="{4B237B83-7E7D-4403-A013-11B59D9B7094}" type="parTrans" cxnId="{AB2CCFC5-7BCA-4C22-B188-BE98B27B921E}">
      <dgm:prSet/>
      <dgm:spPr/>
      <dgm:t>
        <a:bodyPr/>
        <a:lstStyle/>
        <a:p>
          <a:endParaRPr lang="en-US"/>
        </a:p>
      </dgm:t>
    </dgm:pt>
    <dgm:pt modelId="{D10C37C5-9EBD-4B72-82D2-083E22AF1E3B}" type="sibTrans" cxnId="{AB2CCFC5-7BCA-4C22-B188-BE98B27B921E}">
      <dgm:prSet/>
      <dgm:spPr/>
      <dgm:t>
        <a:bodyPr/>
        <a:lstStyle/>
        <a:p>
          <a:endParaRPr lang="en-US"/>
        </a:p>
      </dgm:t>
    </dgm:pt>
    <dgm:pt modelId="{AAE46F0F-5BC0-402A-A322-4BFB6B51E2D9}">
      <dgm:prSet custT="1"/>
      <dgm:spPr/>
      <dgm:t>
        <a:bodyPr/>
        <a:lstStyle/>
        <a:p>
          <a:r>
            <a:rPr lang="en-US" sz="1100"/>
            <a:t>Delivery</a:t>
          </a:r>
        </a:p>
      </dgm:t>
    </dgm:pt>
    <dgm:pt modelId="{FF06431E-9AEA-4506-B641-258E287D0465}" type="parTrans" cxnId="{4B18E9B1-5B47-478A-9D9E-ED2D9F67D420}">
      <dgm:prSet/>
      <dgm:spPr/>
      <dgm:t>
        <a:bodyPr/>
        <a:lstStyle/>
        <a:p>
          <a:endParaRPr lang="en-US"/>
        </a:p>
      </dgm:t>
    </dgm:pt>
    <dgm:pt modelId="{0A78BA24-321D-4926-8418-891BC5877576}" type="sibTrans" cxnId="{4B18E9B1-5B47-478A-9D9E-ED2D9F67D420}">
      <dgm:prSet/>
      <dgm:spPr/>
      <dgm:t>
        <a:bodyPr/>
        <a:lstStyle/>
        <a:p>
          <a:endParaRPr lang="en-US"/>
        </a:p>
      </dgm:t>
    </dgm:pt>
    <dgm:pt modelId="{90B288ED-4F00-4811-A453-D971656E1000}">
      <dgm:prSet custT="1"/>
      <dgm:spPr/>
      <dgm:t>
        <a:bodyPr/>
        <a:lstStyle/>
        <a:p>
          <a:r>
            <a:rPr lang="en-US" sz="1100"/>
            <a:t>End User</a:t>
          </a:r>
        </a:p>
      </dgm:t>
    </dgm:pt>
    <dgm:pt modelId="{5D32C507-1B56-41BC-9AB8-246F4E81DE4D}" type="parTrans" cxnId="{B1F07112-35B8-47EF-A40E-AA15416EBC9C}">
      <dgm:prSet/>
      <dgm:spPr/>
      <dgm:t>
        <a:bodyPr/>
        <a:lstStyle/>
        <a:p>
          <a:endParaRPr lang="en-US"/>
        </a:p>
      </dgm:t>
    </dgm:pt>
    <dgm:pt modelId="{1C8129CF-B3F5-40E8-9BCD-C2268D8A980A}" type="sibTrans" cxnId="{B1F07112-35B8-47EF-A40E-AA15416EBC9C}">
      <dgm:prSet/>
      <dgm:spPr/>
      <dgm:t>
        <a:bodyPr/>
        <a:lstStyle/>
        <a:p>
          <a:endParaRPr lang="en-US"/>
        </a:p>
      </dgm:t>
    </dgm:pt>
    <dgm:pt modelId="{F7C91B3E-449E-4898-972C-485B3D12D508}">
      <dgm:prSet custT="1"/>
      <dgm:spPr/>
      <dgm:t>
        <a:bodyPr/>
        <a:lstStyle/>
        <a:p>
          <a:r>
            <a:rPr lang="en-US" sz="1100"/>
            <a:t>IT Management</a:t>
          </a:r>
        </a:p>
      </dgm:t>
    </dgm:pt>
    <dgm:pt modelId="{58C33545-7CAA-4474-8199-92414A76157D}" type="parTrans" cxnId="{87183633-55E9-4021-BB8D-90101D0C63C9}">
      <dgm:prSet/>
      <dgm:spPr/>
      <dgm:t>
        <a:bodyPr/>
        <a:lstStyle/>
        <a:p>
          <a:endParaRPr lang="en-US"/>
        </a:p>
      </dgm:t>
    </dgm:pt>
    <dgm:pt modelId="{021D75B1-4417-4307-AEB8-225DAE8A37FC}" type="sibTrans" cxnId="{87183633-55E9-4021-BB8D-90101D0C63C9}">
      <dgm:prSet/>
      <dgm:spPr/>
      <dgm:t>
        <a:bodyPr/>
        <a:lstStyle/>
        <a:p>
          <a:endParaRPr lang="en-US"/>
        </a:p>
      </dgm:t>
    </dgm:pt>
    <dgm:pt modelId="{F8BCCDBA-26E7-45DD-BFD2-110E6876F2DC}">
      <dgm:prSet custT="1"/>
      <dgm:spPr/>
      <dgm:t>
        <a:bodyPr/>
        <a:lstStyle/>
        <a:p>
          <a:r>
            <a:rPr lang="en-US" sz="1100"/>
            <a:t>Network</a:t>
          </a:r>
        </a:p>
      </dgm:t>
    </dgm:pt>
    <dgm:pt modelId="{9EE317ED-EC84-4A25-B13C-CEC0AB7ACBE3}" type="parTrans" cxnId="{9E9EB19A-056D-477D-A512-84DAB7DB06BE}">
      <dgm:prSet/>
      <dgm:spPr/>
      <dgm:t>
        <a:bodyPr/>
        <a:lstStyle/>
        <a:p>
          <a:endParaRPr lang="en-US"/>
        </a:p>
      </dgm:t>
    </dgm:pt>
    <dgm:pt modelId="{081B7790-9141-46D0-BB0D-7CE27A3B4A07}" type="sibTrans" cxnId="{9E9EB19A-056D-477D-A512-84DAB7DB06BE}">
      <dgm:prSet/>
      <dgm:spPr/>
      <dgm:t>
        <a:bodyPr/>
        <a:lstStyle/>
        <a:p>
          <a:endParaRPr lang="en-US"/>
        </a:p>
      </dgm:t>
    </dgm:pt>
    <dgm:pt modelId="{CF2F2A82-330A-4DB6-8B6E-18E7A49C0D86}">
      <dgm:prSet custT="1"/>
      <dgm:spPr/>
      <dgm:t>
        <a:bodyPr/>
        <a:lstStyle/>
        <a:p>
          <a:r>
            <a:rPr lang="en-US" sz="1100"/>
            <a:t>Output</a:t>
          </a:r>
        </a:p>
      </dgm:t>
    </dgm:pt>
    <dgm:pt modelId="{859361E0-5E50-4F25-9873-542EF8EA14F2}" type="parTrans" cxnId="{A1506F22-D126-4B8A-8EAE-221E47F35D67}">
      <dgm:prSet/>
      <dgm:spPr/>
      <dgm:t>
        <a:bodyPr/>
        <a:lstStyle/>
        <a:p>
          <a:endParaRPr lang="en-US"/>
        </a:p>
      </dgm:t>
    </dgm:pt>
    <dgm:pt modelId="{04727F8B-706D-475E-AAE4-43886C1B7C2B}" type="sibTrans" cxnId="{A1506F22-D126-4B8A-8EAE-221E47F35D67}">
      <dgm:prSet/>
      <dgm:spPr/>
      <dgm:t>
        <a:bodyPr/>
        <a:lstStyle/>
        <a:p>
          <a:endParaRPr lang="en-US"/>
        </a:p>
      </dgm:t>
    </dgm:pt>
    <dgm:pt modelId="{B0BF8BDA-9F7D-4526-A390-38E4C3F1554B}">
      <dgm:prSet custT="1"/>
      <dgm:spPr/>
      <dgm:t>
        <a:bodyPr/>
        <a:lstStyle/>
        <a:p>
          <a:r>
            <a:rPr lang="en-US" sz="1100"/>
            <a:t>Platform</a:t>
          </a:r>
        </a:p>
      </dgm:t>
    </dgm:pt>
    <dgm:pt modelId="{AD063934-77B4-4D66-A5DB-7437D34294A2}" type="parTrans" cxnId="{53ECCACA-AFA2-4EBB-90BE-3614ECFBC429}">
      <dgm:prSet/>
      <dgm:spPr/>
      <dgm:t>
        <a:bodyPr/>
        <a:lstStyle/>
        <a:p>
          <a:endParaRPr lang="en-US"/>
        </a:p>
      </dgm:t>
    </dgm:pt>
    <dgm:pt modelId="{C512C927-AACD-4D0E-B2AC-E511E26CD666}" type="sibTrans" cxnId="{53ECCACA-AFA2-4EBB-90BE-3614ECFBC429}">
      <dgm:prSet/>
      <dgm:spPr/>
      <dgm:t>
        <a:bodyPr/>
        <a:lstStyle/>
        <a:p>
          <a:endParaRPr lang="en-US"/>
        </a:p>
      </dgm:t>
    </dgm:pt>
    <dgm:pt modelId="{E5B03659-CD07-4658-A95E-FE711A2E3FBF}">
      <dgm:prSet custT="1"/>
      <dgm:spPr/>
      <dgm:t>
        <a:bodyPr/>
        <a:lstStyle/>
        <a:p>
          <a:r>
            <a:rPr lang="en-US" sz="1100"/>
            <a:t>Security &amp; Compliance</a:t>
          </a:r>
        </a:p>
      </dgm:t>
    </dgm:pt>
    <dgm:pt modelId="{B057B5ED-DD1C-4050-AE15-DBDC435E9537}" type="parTrans" cxnId="{BC0B72E3-A1B0-4F37-B552-46FF89D5FCDA}">
      <dgm:prSet/>
      <dgm:spPr/>
      <dgm:t>
        <a:bodyPr/>
        <a:lstStyle/>
        <a:p>
          <a:endParaRPr lang="en-US"/>
        </a:p>
      </dgm:t>
    </dgm:pt>
    <dgm:pt modelId="{306FA132-7B4D-433F-B415-363D267C77F7}" type="sibTrans" cxnId="{BC0B72E3-A1B0-4F37-B552-46FF89D5FCDA}">
      <dgm:prSet/>
      <dgm:spPr/>
      <dgm:t>
        <a:bodyPr/>
        <a:lstStyle/>
        <a:p>
          <a:endParaRPr lang="en-US"/>
        </a:p>
      </dgm:t>
    </dgm:pt>
    <dgm:pt modelId="{198BE5B2-5678-4D0B-8950-4DA5A723DEC7}">
      <dgm:prSet custT="1"/>
      <dgm:spPr/>
      <dgm:t>
        <a:bodyPr/>
        <a:lstStyle/>
        <a:p>
          <a:r>
            <a:rPr lang="en-US" sz="1100"/>
            <a:t>Storage</a:t>
          </a:r>
        </a:p>
      </dgm:t>
    </dgm:pt>
    <dgm:pt modelId="{F325DE37-3E78-472B-AE11-FA1D28461BCF}" type="parTrans" cxnId="{DFED5573-D6B4-47D5-B601-17A85353119A}">
      <dgm:prSet/>
      <dgm:spPr/>
      <dgm:t>
        <a:bodyPr/>
        <a:lstStyle/>
        <a:p>
          <a:endParaRPr lang="en-US"/>
        </a:p>
      </dgm:t>
    </dgm:pt>
    <dgm:pt modelId="{0188F50C-C86D-4FF5-9CC1-54445E6A49C7}" type="sibTrans" cxnId="{DFED5573-D6B4-47D5-B601-17A85353119A}">
      <dgm:prSet/>
      <dgm:spPr/>
      <dgm:t>
        <a:bodyPr/>
        <a:lstStyle/>
        <a:p>
          <a:endParaRPr lang="en-US"/>
        </a:p>
      </dgm:t>
    </dgm:pt>
    <dgm:pt modelId="{08DDD684-B9A0-4B6C-BAA3-8BC3B1A7F52F}">
      <dgm:prSet phldrT="[Text]" custT="1"/>
      <dgm:spPr/>
      <dgm:t>
        <a:bodyPr/>
        <a:lstStyle/>
        <a:p>
          <a:r>
            <a:rPr lang="en-US" sz="1100"/>
            <a:t>External Labor</a:t>
          </a:r>
        </a:p>
      </dgm:t>
    </dgm:pt>
    <dgm:pt modelId="{C166344E-1A6D-420A-AB8E-111E40800CD2}" type="sibTrans" cxnId="{343863F7-500F-4DFC-9482-0EE001EA3826}">
      <dgm:prSet/>
      <dgm:spPr/>
      <dgm:t>
        <a:bodyPr/>
        <a:lstStyle/>
        <a:p>
          <a:endParaRPr lang="en-US"/>
        </a:p>
      </dgm:t>
    </dgm:pt>
    <dgm:pt modelId="{95289EA0-AEB1-445D-AFAB-513E5BAA427E}" type="parTrans" cxnId="{343863F7-500F-4DFC-9482-0EE001EA3826}">
      <dgm:prSet/>
      <dgm:spPr/>
      <dgm:t>
        <a:bodyPr/>
        <a:lstStyle/>
        <a:p>
          <a:endParaRPr lang="en-US"/>
        </a:p>
      </dgm:t>
    </dgm:pt>
    <dgm:pt modelId="{EE2DBDBA-6031-45E3-A425-1D9D95CBAD00}" type="pres">
      <dgm:prSet presAssocID="{84B8EEED-9C11-48E4-B5D1-4D392DFA68F9}" presName="Name0" presStyleCnt="0">
        <dgm:presLayoutVars>
          <dgm:dir/>
          <dgm:animLvl val="lvl"/>
          <dgm:resizeHandles val="exact"/>
        </dgm:presLayoutVars>
      </dgm:prSet>
      <dgm:spPr/>
    </dgm:pt>
    <dgm:pt modelId="{17C4A720-3D5E-4808-9452-64D39D70635C}" type="pres">
      <dgm:prSet presAssocID="{50811185-3518-4B15-936C-4C4F72BEF531}" presName="composite" presStyleCnt="0"/>
      <dgm:spPr/>
    </dgm:pt>
    <dgm:pt modelId="{6EC54CF4-A856-4FF2-B89E-998BD3C49DC9}" type="pres">
      <dgm:prSet presAssocID="{50811185-3518-4B15-936C-4C4F72BEF531}" presName="parTx" presStyleLbl="alignNode1" presStyleIdx="0" presStyleCnt="2">
        <dgm:presLayoutVars>
          <dgm:chMax val="0"/>
          <dgm:chPref val="0"/>
          <dgm:bulletEnabled val="1"/>
        </dgm:presLayoutVars>
      </dgm:prSet>
      <dgm:spPr/>
    </dgm:pt>
    <dgm:pt modelId="{6EF9D947-2EAC-495B-B2F7-C244A9D770AF}" type="pres">
      <dgm:prSet presAssocID="{50811185-3518-4B15-936C-4C4F72BEF531}" presName="desTx" presStyleLbl="alignAccFollowNode1" presStyleIdx="0" presStyleCnt="2">
        <dgm:presLayoutVars>
          <dgm:bulletEnabled val="1"/>
        </dgm:presLayoutVars>
      </dgm:prSet>
      <dgm:spPr/>
    </dgm:pt>
    <dgm:pt modelId="{90079759-66CE-4DA7-AFE1-AAB8DB3214AF}" type="pres">
      <dgm:prSet presAssocID="{BD81E8B7-9B5C-4753-BBF9-E2BABFFB2E34}" presName="space" presStyleCnt="0"/>
      <dgm:spPr/>
    </dgm:pt>
    <dgm:pt modelId="{7A4E9769-D139-44F9-9CE7-50ADB48A5B05}" type="pres">
      <dgm:prSet presAssocID="{EBEFC561-0F3D-49CA-8E92-83D528ED98A8}" presName="composite" presStyleCnt="0"/>
      <dgm:spPr/>
    </dgm:pt>
    <dgm:pt modelId="{7C71A7C8-9C98-46B5-B529-9AB8D5EB8B41}" type="pres">
      <dgm:prSet presAssocID="{EBEFC561-0F3D-49CA-8E92-83D528ED98A8}" presName="parTx" presStyleLbl="alignNode1" presStyleIdx="1" presStyleCnt="2">
        <dgm:presLayoutVars>
          <dgm:chMax val="0"/>
          <dgm:chPref val="0"/>
          <dgm:bulletEnabled val="1"/>
        </dgm:presLayoutVars>
      </dgm:prSet>
      <dgm:spPr/>
    </dgm:pt>
    <dgm:pt modelId="{364740E0-9A3D-40B9-9EEB-2C6696FE9C61}" type="pres">
      <dgm:prSet presAssocID="{EBEFC561-0F3D-49CA-8E92-83D528ED98A8}" presName="desTx" presStyleLbl="alignAccFollowNode1" presStyleIdx="1" presStyleCnt="2">
        <dgm:presLayoutVars>
          <dgm:bulletEnabled val="1"/>
        </dgm:presLayoutVars>
      </dgm:prSet>
      <dgm:spPr/>
    </dgm:pt>
  </dgm:ptLst>
  <dgm:cxnLst>
    <dgm:cxn modelId="{C3088006-D6D3-4752-8122-945B6F7CCDF3}" type="presOf" srcId="{B0BF8BDA-9F7D-4526-A390-38E4C3F1554B}" destId="{364740E0-9A3D-40B9-9EEB-2C6696FE9C61}" srcOrd="0" destOrd="8" presId="urn:microsoft.com/office/officeart/2005/8/layout/hList1"/>
    <dgm:cxn modelId="{B1F07112-35B8-47EF-A40E-AA15416EBC9C}" srcId="{EBEFC561-0F3D-49CA-8E92-83D528ED98A8}" destId="{90B288ED-4F00-4811-A453-D971656E1000}" srcOrd="4" destOrd="0" parTransId="{5D32C507-1B56-41BC-9AB8-246F4E81DE4D}" sibTransId="{1C8129CF-B3F5-40E8-9BCD-C2268D8A980A}"/>
    <dgm:cxn modelId="{28D0C91F-0975-4023-9C90-7BF1F47F5F2F}" srcId="{50811185-3518-4B15-936C-4C4F72BEF531}" destId="{A25F8DBE-E95A-4F9F-8C95-43211BB5DE6C}" srcOrd="4" destOrd="0" parTransId="{84059AAA-9578-4310-B7B4-09DE280DBF1E}" sibTransId="{7C04EA8E-CD12-4D61-AA0D-802D787679E0}"/>
    <dgm:cxn modelId="{A1506F22-D126-4B8A-8EAE-221E47F35D67}" srcId="{EBEFC561-0F3D-49CA-8E92-83D528ED98A8}" destId="{CF2F2A82-330A-4DB6-8B6E-18E7A49C0D86}" srcOrd="7" destOrd="0" parTransId="{859361E0-5E50-4F25-9873-542EF8EA14F2}" sibTransId="{04727F8B-706D-475E-AAE4-43886C1B7C2B}"/>
    <dgm:cxn modelId="{F88D6123-F1EB-4955-A0A8-5B19A6EE74E2}" type="presOf" srcId="{E5B03659-CD07-4658-A95E-FE711A2E3FBF}" destId="{364740E0-9A3D-40B9-9EEB-2C6696FE9C61}" srcOrd="0" destOrd="9" presId="urn:microsoft.com/office/officeart/2005/8/layout/hList1"/>
    <dgm:cxn modelId="{87183633-55E9-4021-BB8D-90101D0C63C9}" srcId="{EBEFC561-0F3D-49CA-8E92-83D528ED98A8}" destId="{F7C91B3E-449E-4898-972C-485B3D12D508}" srcOrd="5" destOrd="0" parTransId="{58C33545-7CAA-4474-8199-92414A76157D}" sibTransId="{021D75B1-4417-4307-AEB8-225DAE8A37FC}"/>
    <dgm:cxn modelId="{3405203B-DC36-4595-B58C-C0DD4320B6F8}" type="presOf" srcId="{1844B69F-A893-4F8D-8FCA-FAC611004FCA}" destId="{6EF9D947-2EAC-495B-B2F7-C244A9D770AF}" srcOrd="0" destOrd="2" presId="urn:microsoft.com/office/officeart/2005/8/layout/hList1"/>
    <dgm:cxn modelId="{92E88742-91D7-46E5-9267-78154D1DDACE}" type="presOf" srcId="{84B8EEED-9C11-48E4-B5D1-4D392DFA68F9}" destId="{EE2DBDBA-6031-45E3-A425-1D9D95CBAD00}" srcOrd="0" destOrd="0" presId="urn:microsoft.com/office/officeart/2005/8/layout/hList1"/>
    <dgm:cxn modelId="{C031CD45-6FE9-4B76-BACA-E3A005EF2A6C}" srcId="{50811185-3518-4B15-936C-4C4F72BEF531}" destId="{1844B69F-A893-4F8D-8FCA-FAC611004FCA}" srcOrd="2" destOrd="0" parTransId="{DE070533-37ED-428D-A10C-3F128CD14A87}" sibTransId="{D1FD1E6F-B835-4B56-A753-D4A0F2D4EFEC}"/>
    <dgm:cxn modelId="{D9D7DC49-2B63-4AEA-8584-26E8DFB941BB}" type="presOf" srcId="{A25F8DBE-E95A-4F9F-8C95-43211BB5DE6C}" destId="{6EF9D947-2EAC-495B-B2F7-C244A9D770AF}" srcOrd="0" destOrd="4" presId="urn:microsoft.com/office/officeart/2005/8/layout/hList1"/>
    <dgm:cxn modelId="{F9802A4C-1B1F-49F1-8A54-22416F2051D2}" type="presOf" srcId="{08DDD684-B9A0-4B6C-BAA3-8BC3B1A7F52F}" destId="{6EF9D947-2EAC-495B-B2F7-C244A9D770AF}" srcOrd="0" destOrd="0" presId="urn:microsoft.com/office/officeart/2005/8/layout/hList1"/>
    <dgm:cxn modelId="{FDDF396C-0F94-4366-AE52-55231BA508CD}" srcId="{50811185-3518-4B15-936C-4C4F72BEF531}" destId="{1C1DC5E1-84DE-4264-A6E7-FFDC5800831D}" srcOrd="5" destOrd="0" parTransId="{32742800-7D2D-41DD-9D47-92D6948A201C}" sibTransId="{B9E6C9A8-5EC0-4374-A70B-33493A7F1543}"/>
    <dgm:cxn modelId="{E27A1770-29A4-44CB-BAA8-3E56622A1AAB}" type="presOf" srcId="{9B3742A6-DDDC-49FA-9A4A-820EB8EAB620}" destId="{364740E0-9A3D-40B9-9EEB-2C6696FE9C61}" srcOrd="0" destOrd="1" presId="urn:microsoft.com/office/officeart/2005/8/layout/hList1"/>
    <dgm:cxn modelId="{DFED5573-D6B4-47D5-B601-17A85353119A}" srcId="{EBEFC561-0F3D-49CA-8E92-83D528ED98A8}" destId="{198BE5B2-5678-4D0B-8950-4DA5A723DEC7}" srcOrd="10" destOrd="0" parTransId="{F325DE37-3E78-472B-AE11-FA1D28461BCF}" sibTransId="{0188F50C-C86D-4FF5-9CC1-54445E6A49C7}"/>
    <dgm:cxn modelId="{215F6458-F363-43BA-8318-675FD5FBB11F}" type="presOf" srcId="{F7C91B3E-449E-4898-972C-485B3D12D508}" destId="{364740E0-9A3D-40B9-9EEB-2C6696FE9C61}" srcOrd="0" destOrd="5" presId="urn:microsoft.com/office/officeart/2005/8/layout/hList1"/>
    <dgm:cxn modelId="{548B1479-29A8-41D0-9486-694EEA80AAB7}" srcId="{EBEFC561-0F3D-49CA-8E92-83D528ED98A8}" destId="{94A07531-86D3-4579-9C2E-EFF4C03ABFD4}" srcOrd="0" destOrd="0" parTransId="{537FC909-51FA-4208-BBD3-75A1B7B81B0F}" sibTransId="{498F48C4-CDD9-40A7-950C-BC8372E5D0DB}"/>
    <dgm:cxn modelId="{ADB7BA80-5DDE-48F4-A6FD-F44ECA265BAD}" srcId="{50811185-3518-4B15-936C-4C4F72BEF531}" destId="{9A5A5C48-6312-42AD-9E5E-61278617D6E3}" srcOrd="1" destOrd="0" parTransId="{A0B9A075-CB4B-44B5-853F-EC704443F997}" sibTransId="{4B7B3A72-D57B-4616-A2A5-6F189C4CBD11}"/>
    <dgm:cxn modelId="{31CAE681-377F-44A4-A2BC-8C07DFA027FA}" type="presOf" srcId="{F8BCCDBA-26E7-45DD-BFD2-110E6876F2DC}" destId="{364740E0-9A3D-40B9-9EEB-2C6696FE9C61}" srcOrd="0" destOrd="6" presId="urn:microsoft.com/office/officeart/2005/8/layout/hList1"/>
    <dgm:cxn modelId="{3E693C88-22D9-4530-8A7A-BB96398468F3}" srcId="{50811185-3518-4B15-936C-4C4F72BEF531}" destId="{0FCAE679-C0AE-439F-9BEF-85044574F60A}" srcOrd="8" destOrd="0" parTransId="{EB442BBF-6E1C-47BB-BE82-DEFDEB05E80A}" sibTransId="{283F7EFF-C641-45DC-AEEA-298FCDDB6DBA}"/>
    <dgm:cxn modelId="{4DA27988-F1FD-4A0F-B4EF-9E7B15FA1F80}" srcId="{EBEFC561-0F3D-49CA-8E92-83D528ED98A8}" destId="{9B3742A6-DDDC-49FA-9A4A-820EB8EAB620}" srcOrd="1" destOrd="0" parTransId="{A1143CED-E25F-4D74-85AB-E57E754C0C30}" sibTransId="{8EE0D36B-4884-46F1-BC72-32520CD8F885}"/>
    <dgm:cxn modelId="{E5A03789-6678-4B46-82FF-F4FD7F38FD28}" type="presOf" srcId="{0FCAE679-C0AE-439F-9BEF-85044574F60A}" destId="{6EF9D947-2EAC-495B-B2F7-C244A9D770AF}" srcOrd="0" destOrd="8" presId="urn:microsoft.com/office/officeart/2005/8/layout/hList1"/>
    <dgm:cxn modelId="{E14B8E8F-0B50-4DD3-A50A-42DFF3B97C86}" type="presOf" srcId="{EBEFC561-0F3D-49CA-8E92-83D528ED98A8}" destId="{7C71A7C8-9C98-46B5-B529-9AB8D5EB8B41}" srcOrd="0" destOrd="0" presId="urn:microsoft.com/office/officeart/2005/8/layout/hList1"/>
    <dgm:cxn modelId="{7C5F5292-99B3-430E-A5CF-A624575C0127}" srcId="{84B8EEED-9C11-48E4-B5D1-4D392DFA68F9}" destId="{50811185-3518-4B15-936C-4C4F72BEF531}" srcOrd="0" destOrd="0" parTransId="{AB454875-5547-4D94-A662-B023FA1C6BAC}" sibTransId="{BD81E8B7-9B5C-4753-BBF9-E2BABFFB2E34}"/>
    <dgm:cxn modelId="{F51AE599-EC38-4BD9-B7C6-F24C1414837E}" type="presOf" srcId="{198BE5B2-5678-4D0B-8950-4DA5A723DEC7}" destId="{364740E0-9A3D-40B9-9EEB-2C6696FE9C61}" srcOrd="0" destOrd="10" presId="urn:microsoft.com/office/officeart/2005/8/layout/hList1"/>
    <dgm:cxn modelId="{9E9EB19A-056D-477D-A512-84DAB7DB06BE}" srcId="{EBEFC561-0F3D-49CA-8E92-83D528ED98A8}" destId="{F8BCCDBA-26E7-45DD-BFD2-110E6876F2DC}" srcOrd="6" destOrd="0" parTransId="{9EE317ED-EC84-4A25-B13C-CEC0AB7ACBE3}" sibTransId="{081B7790-9141-46D0-BB0D-7CE27A3B4A07}"/>
    <dgm:cxn modelId="{111F239D-3322-438C-8B22-B92B67984F0E}" srcId="{84B8EEED-9C11-48E4-B5D1-4D392DFA68F9}" destId="{EBEFC561-0F3D-49CA-8E92-83D528ED98A8}" srcOrd="1" destOrd="0" parTransId="{3A15DBC0-9FD5-4463-A002-708BBCF880BE}" sibTransId="{6AF24F28-B196-4992-8220-4557DB87E273}"/>
    <dgm:cxn modelId="{F3BE95A9-47C1-42B2-9DEE-34150F249AB4}" type="presOf" srcId="{CF2F2A82-330A-4DB6-8B6E-18E7A49C0D86}" destId="{364740E0-9A3D-40B9-9EEB-2C6696FE9C61}" srcOrd="0" destOrd="7" presId="urn:microsoft.com/office/officeart/2005/8/layout/hList1"/>
    <dgm:cxn modelId="{A600BDAB-0F95-4328-899E-0430E64B5CB9}" type="presOf" srcId="{AAE46F0F-5BC0-402A-A322-4BFB6B51E2D9}" destId="{364740E0-9A3D-40B9-9EEB-2C6696FE9C61}" srcOrd="0" destOrd="3" presId="urn:microsoft.com/office/officeart/2005/8/layout/hList1"/>
    <dgm:cxn modelId="{2879E8AD-0377-4A31-AC41-5D1FBEDC4442}" type="presOf" srcId="{50811185-3518-4B15-936C-4C4F72BEF531}" destId="{6EC54CF4-A856-4FF2-B89E-998BD3C49DC9}" srcOrd="0" destOrd="0" presId="urn:microsoft.com/office/officeart/2005/8/layout/hList1"/>
    <dgm:cxn modelId="{BC4CEDAD-EF72-4F5B-BFEE-A6865FB1E3A2}" type="presOf" srcId="{C1A76819-123A-45EC-A3E2-F0163267142F}" destId="{364740E0-9A3D-40B9-9EEB-2C6696FE9C61}" srcOrd="0" destOrd="2" presId="urn:microsoft.com/office/officeart/2005/8/layout/hList1"/>
    <dgm:cxn modelId="{A533EBAF-DEB6-404B-8543-F237D6A5A263}" type="presOf" srcId="{FF064DBF-9FFB-4B62-A1C0-D5055A451781}" destId="{6EF9D947-2EAC-495B-B2F7-C244A9D770AF}" srcOrd="0" destOrd="7" presId="urn:microsoft.com/office/officeart/2005/8/layout/hList1"/>
    <dgm:cxn modelId="{4B18E9B1-5B47-478A-9D9E-ED2D9F67D420}" srcId="{EBEFC561-0F3D-49CA-8E92-83D528ED98A8}" destId="{AAE46F0F-5BC0-402A-A322-4BFB6B51E2D9}" srcOrd="3" destOrd="0" parTransId="{FF06431E-9AEA-4506-B641-258E287D0465}" sibTransId="{0A78BA24-321D-4926-8418-891BC5877576}"/>
    <dgm:cxn modelId="{EEABB5BD-1320-4DF6-96F5-4EE14972DCBA}" type="presOf" srcId="{B87E114E-D57F-4A86-BA21-CC97546E3B18}" destId="{6EF9D947-2EAC-495B-B2F7-C244A9D770AF}" srcOrd="0" destOrd="6" presId="urn:microsoft.com/office/officeart/2005/8/layout/hList1"/>
    <dgm:cxn modelId="{9FA9C1BF-423F-4196-BFD5-53A55816B54F}" type="presOf" srcId="{90B288ED-4F00-4811-A453-D971656E1000}" destId="{364740E0-9A3D-40B9-9EEB-2C6696FE9C61}" srcOrd="0" destOrd="4" presId="urn:microsoft.com/office/officeart/2005/8/layout/hList1"/>
    <dgm:cxn modelId="{AB2CCFC5-7BCA-4C22-B188-BE98B27B921E}" srcId="{EBEFC561-0F3D-49CA-8E92-83D528ED98A8}" destId="{C1A76819-123A-45EC-A3E2-F0163267142F}" srcOrd="2" destOrd="0" parTransId="{4B237B83-7E7D-4403-A013-11B59D9B7094}" sibTransId="{D10C37C5-9EBD-4B72-82D2-083E22AF1E3B}"/>
    <dgm:cxn modelId="{53ECCACA-AFA2-4EBB-90BE-3614ECFBC429}" srcId="{EBEFC561-0F3D-49CA-8E92-83D528ED98A8}" destId="{B0BF8BDA-9F7D-4526-A390-38E4C3F1554B}" srcOrd="8" destOrd="0" parTransId="{AD063934-77B4-4D66-A5DB-7437D34294A2}" sibTransId="{C512C927-AACD-4D0E-B2AC-E511E26CD666}"/>
    <dgm:cxn modelId="{66701BCD-005A-43D6-A6D9-61CF332D78EA}" srcId="{50811185-3518-4B15-936C-4C4F72BEF531}" destId="{B87E114E-D57F-4A86-BA21-CC97546E3B18}" srcOrd="6" destOrd="0" parTransId="{30344959-EDEA-459E-8C2F-B21038C0FA41}" sibTransId="{E987CB6A-89A4-4760-A702-08CECE72BF6C}"/>
    <dgm:cxn modelId="{976E58E0-B313-4DDB-B0D1-C29F92D40ED6}" type="presOf" srcId="{94A07531-86D3-4579-9C2E-EFF4C03ABFD4}" destId="{364740E0-9A3D-40B9-9EEB-2C6696FE9C61}" srcOrd="0" destOrd="0" presId="urn:microsoft.com/office/officeart/2005/8/layout/hList1"/>
    <dgm:cxn modelId="{0C7157E1-C690-4C48-B7B7-3723E9E6A273}" srcId="{50811185-3518-4B15-936C-4C4F72BEF531}" destId="{3D729976-142C-44EA-9411-86B3DD17EEBC}" srcOrd="3" destOrd="0" parTransId="{2F14CD1E-16BB-4F27-AE45-F9875C44263E}" sibTransId="{7C86BBFE-10A6-49CE-99FA-06CD82783935}"/>
    <dgm:cxn modelId="{BC0B72E3-A1B0-4F37-B552-46FF89D5FCDA}" srcId="{EBEFC561-0F3D-49CA-8E92-83D528ED98A8}" destId="{E5B03659-CD07-4658-A95E-FE711A2E3FBF}" srcOrd="9" destOrd="0" parTransId="{B057B5ED-DD1C-4050-AE15-DBDC435E9537}" sibTransId="{306FA132-7B4D-433F-B415-363D267C77F7}"/>
    <dgm:cxn modelId="{1D6B88E5-713E-4D95-87E3-D5A050329DC5}" srcId="{50811185-3518-4B15-936C-4C4F72BEF531}" destId="{FF064DBF-9FFB-4B62-A1C0-D5055A451781}" srcOrd="7" destOrd="0" parTransId="{AEA5A6C6-851D-4A1E-9B27-09D40D5E3D30}" sibTransId="{857D48F9-9BBE-40C3-A618-4662EACC0081}"/>
    <dgm:cxn modelId="{D7B6C2F0-ADC8-4758-9CFF-269D988AA590}" type="presOf" srcId="{9A5A5C48-6312-42AD-9E5E-61278617D6E3}" destId="{6EF9D947-2EAC-495B-B2F7-C244A9D770AF}" srcOrd="0" destOrd="1" presId="urn:microsoft.com/office/officeart/2005/8/layout/hList1"/>
    <dgm:cxn modelId="{343863F7-500F-4DFC-9482-0EE001EA3826}" srcId="{50811185-3518-4B15-936C-4C4F72BEF531}" destId="{08DDD684-B9A0-4B6C-BAA3-8BC3B1A7F52F}" srcOrd="0" destOrd="0" parTransId="{95289EA0-AEB1-445D-AFAB-513E5BAA427E}" sibTransId="{C166344E-1A6D-420A-AB8E-111E40800CD2}"/>
    <dgm:cxn modelId="{B1E013F8-EF7F-409E-8B06-3E5D4608DE33}" type="presOf" srcId="{1C1DC5E1-84DE-4264-A6E7-FFDC5800831D}" destId="{6EF9D947-2EAC-495B-B2F7-C244A9D770AF}" srcOrd="0" destOrd="5" presId="urn:microsoft.com/office/officeart/2005/8/layout/hList1"/>
    <dgm:cxn modelId="{8AD2BFF9-17AF-4537-8915-8B800D6FD459}" type="presOf" srcId="{3D729976-142C-44EA-9411-86B3DD17EEBC}" destId="{6EF9D947-2EAC-495B-B2F7-C244A9D770AF}" srcOrd="0" destOrd="3" presId="urn:microsoft.com/office/officeart/2005/8/layout/hList1"/>
    <dgm:cxn modelId="{B5C5F27E-DF69-4332-B5D1-3D26FCED60BC}" type="presParOf" srcId="{EE2DBDBA-6031-45E3-A425-1D9D95CBAD00}" destId="{17C4A720-3D5E-4808-9452-64D39D70635C}" srcOrd="0" destOrd="0" presId="urn:microsoft.com/office/officeart/2005/8/layout/hList1"/>
    <dgm:cxn modelId="{FB6AC06B-735D-4E73-A0AA-A3631E9F87FF}" type="presParOf" srcId="{17C4A720-3D5E-4808-9452-64D39D70635C}" destId="{6EC54CF4-A856-4FF2-B89E-998BD3C49DC9}" srcOrd="0" destOrd="0" presId="urn:microsoft.com/office/officeart/2005/8/layout/hList1"/>
    <dgm:cxn modelId="{7C4D7D93-015F-4B05-B900-7E7FB104C319}" type="presParOf" srcId="{17C4A720-3D5E-4808-9452-64D39D70635C}" destId="{6EF9D947-2EAC-495B-B2F7-C244A9D770AF}" srcOrd="1" destOrd="0" presId="urn:microsoft.com/office/officeart/2005/8/layout/hList1"/>
    <dgm:cxn modelId="{660A3CF9-715D-4D59-AB06-3D821BF4C694}" type="presParOf" srcId="{EE2DBDBA-6031-45E3-A425-1D9D95CBAD00}" destId="{90079759-66CE-4DA7-AFE1-AAB8DB3214AF}" srcOrd="1" destOrd="0" presId="urn:microsoft.com/office/officeart/2005/8/layout/hList1"/>
    <dgm:cxn modelId="{D7991FA9-AD9E-44B4-9ED3-9317AD7023B7}" type="presParOf" srcId="{EE2DBDBA-6031-45E3-A425-1D9D95CBAD00}" destId="{7A4E9769-D139-44F9-9CE7-50ADB48A5B05}" srcOrd="2" destOrd="0" presId="urn:microsoft.com/office/officeart/2005/8/layout/hList1"/>
    <dgm:cxn modelId="{7FA8FEB4-7593-4565-958A-D39564E6613D}" type="presParOf" srcId="{7A4E9769-D139-44F9-9CE7-50ADB48A5B05}" destId="{7C71A7C8-9C98-46B5-B529-9AB8D5EB8B41}" srcOrd="0" destOrd="0" presId="urn:microsoft.com/office/officeart/2005/8/layout/hList1"/>
    <dgm:cxn modelId="{B473CCF3-A40C-44C4-8E42-5DB45165B105}" type="presParOf" srcId="{7A4E9769-D139-44F9-9CE7-50ADB48A5B05}" destId="{364740E0-9A3D-40B9-9EEB-2C6696FE9C61}" srcOrd="1" destOrd="0" presId="urn:microsoft.com/office/officeart/2005/8/layout/hList1"/>
  </dgm:cxnLst>
  <dgm:bg/>
  <dgm:whole>
    <a:ln>
      <a:solidFill>
        <a:schemeClr val="bg1">
          <a:lumMod val="50000"/>
        </a:schemeClr>
      </a:solidFill>
    </a:ln>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C54CF4-A856-4FF2-B89E-998BD3C49DC9}">
      <dsp:nvSpPr>
        <dsp:cNvPr id="0" name=""/>
        <dsp:cNvSpPr/>
      </dsp:nvSpPr>
      <dsp:spPr>
        <a:xfrm>
          <a:off x="19" y="14411"/>
          <a:ext cx="1864923" cy="259200"/>
        </a:xfrm>
        <a:prstGeom prst="rect">
          <a:avLst/>
        </a:prstGeom>
        <a:solidFill>
          <a:schemeClr val="dk2">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b="1" kern="1200"/>
            <a:t>Cost Pools</a:t>
          </a:r>
          <a:endParaRPr lang="en-US" sz="1100" b="0" i="1" kern="1200"/>
        </a:p>
      </dsp:txBody>
      <dsp:txXfrm>
        <a:off x="19" y="14411"/>
        <a:ext cx="1864923" cy="259200"/>
      </dsp:txXfrm>
    </dsp:sp>
    <dsp:sp modelId="{6EF9D947-2EAC-495B-B2F7-C244A9D770AF}">
      <dsp:nvSpPr>
        <dsp:cNvPr id="0" name=""/>
        <dsp:cNvSpPr/>
      </dsp:nvSpPr>
      <dsp:spPr>
        <a:xfrm>
          <a:off x="19" y="273611"/>
          <a:ext cx="1864923" cy="211227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External Labor</a:t>
          </a:r>
        </a:p>
        <a:p>
          <a:pPr marL="57150" lvl="1" indent="-57150" algn="l" defTabSz="488950">
            <a:lnSpc>
              <a:spcPct val="90000"/>
            </a:lnSpc>
            <a:spcBef>
              <a:spcPct val="0"/>
            </a:spcBef>
            <a:spcAft>
              <a:spcPct val="15000"/>
            </a:spcAft>
            <a:buChar char="•"/>
          </a:pPr>
          <a:r>
            <a:rPr lang="en-US" sz="1100" kern="1200"/>
            <a:t>Facilities &amp; Power</a:t>
          </a:r>
        </a:p>
        <a:p>
          <a:pPr marL="57150" lvl="1" indent="-57150" algn="l" defTabSz="488950">
            <a:lnSpc>
              <a:spcPct val="90000"/>
            </a:lnSpc>
            <a:spcBef>
              <a:spcPct val="0"/>
            </a:spcBef>
            <a:spcAft>
              <a:spcPct val="15000"/>
            </a:spcAft>
            <a:buChar char="•"/>
          </a:pPr>
          <a:r>
            <a:rPr lang="en-US" sz="1100" kern="1200"/>
            <a:t>Hardware</a:t>
          </a:r>
        </a:p>
        <a:p>
          <a:pPr marL="57150" lvl="1" indent="-57150" algn="l" defTabSz="488950">
            <a:lnSpc>
              <a:spcPct val="90000"/>
            </a:lnSpc>
            <a:spcBef>
              <a:spcPct val="0"/>
            </a:spcBef>
            <a:spcAft>
              <a:spcPct val="15000"/>
            </a:spcAft>
            <a:buChar char="•"/>
          </a:pPr>
          <a:r>
            <a:rPr lang="en-US" sz="1100" kern="1200"/>
            <a:t>Internal Labor</a:t>
          </a:r>
        </a:p>
        <a:p>
          <a:pPr marL="57150" lvl="1" indent="-57150" algn="l" defTabSz="488950">
            <a:lnSpc>
              <a:spcPct val="90000"/>
            </a:lnSpc>
            <a:spcBef>
              <a:spcPct val="0"/>
            </a:spcBef>
            <a:spcAft>
              <a:spcPct val="15000"/>
            </a:spcAft>
            <a:buChar char="•"/>
          </a:pPr>
          <a:r>
            <a:rPr lang="en-US" sz="1100" kern="1200"/>
            <a:t>Internal Services</a:t>
          </a:r>
        </a:p>
        <a:p>
          <a:pPr marL="57150" lvl="1" indent="-57150" algn="l" defTabSz="488950">
            <a:lnSpc>
              <a:spcPct val="90000"/>
            </a:lnSpc>
            <a:spcBef>
              <a:spcPct val="0"/>
            </a:spcBef>
            <a:spcAft>
              <a:spcPct val="15000"/>
            </a:spcAft>
            <a:buChar char="•"/>
          </a:pPr>
          <a:r>
            <a:rPr lang="en-US" sz="1100" kern="1200"/>
            <a:t>Other</a:t>
          </a:r>
        </a:p>
        <a:p>
          <a:pPr marL="57150" lvl="1" indent="-57150" algn="l" defTabSz="488950">
            <a:lnSpc>
              <a:spcPct val="90000"/>
            </a:lnSpc>
            <a:spcBef>
              <a:spcPct val="0"/>
            </a:spcBef>
            <a:spcAft>
              <a:spcPct val="15000"/>
            </a:spcAft>
            <a:buChar char="•"/>
          </a:pPr>
          <a:r>
            <a:rPr lang="en-US" sz="1100" kern="1200"/>
            <a:t>Outside Services</a:t>
          </a:r>
        </a:p>
        <a:p>
          <a:pPr marL="57150" lvl="1" indent="-57150" algn="l" defTabSz="488950">
            <a:lnSpc>
              <a:spcPct val="90000"/>
            </a:lnSpc>
            <a:spcBef>
              <a:spcPct val="0"/>
            </a:spcBef>
            <a:spcAft>
              <a:spcPct val="15000"/>
            </a:spcAft>
            <a:buChar char="•"/>
          </a:pPr>
          <a:r>
            <a:rPr lang="en-US" sz="1100" kern="1200"/>
            <a:t>Software</a:t>
          </a:r>
        </a:p>
        <a:p>
          <a:pPr marL="57150" lvl="1" indent="-57150" algn="l" defTabSz="488950">
            <a:lnSpc>
              <a:spcPct val="90000"/>
            </a:lnSpc>
            <a:spcBef>
              <a:spcPct val="0"/>
            </a:spcBef>
            <a:spcAft>
              <a:spcPct val="15000"/>
            </a:spcAft>
            <a:buChar char="•"/>
          </a:pPr>
          <a:r>
            <a:rPr lang="en-US" sz="1100" kern="1200"/>
            <a:t>Telecom</a:t>
          </a:r>
        </a:p>
      </dsp:txBody>
      <dsp:txXfrm>
        <a:off x="19" y="273611"/>
        <a:ext cx="1864923" cy="2112277"/>
      </dsp:txXfrm>
    </dsp:sp>
    <dsp:sp modelId="{7C71A7C8-9C98-46B5-B529-9AB8D5EB8B41}">
      <dsp:nvSpPr>
        <dsp:cNvPr id="0" name=""/>
        <dsp:cNvSpPr/>
      </dsp:nvSpPr>
      <dsp:spPr>
        <a:xfrm>
          <a:off x="2126032" y="14411"/>
          <a:ext cx="1864923" cy="259200"/>
        </a:xfrm>
        <a:prstGeom prst="rect">
          <a:avLst/>
        </a:prstGeom>
        <a:solidFill>
          <a:schemeClr val="dk2">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b="1" kern="1200"/>
            <a:t>IT Technology Towers                     </a:t>
          </a:r>
          <a:endParaRPr lang="en-US" sz="1100" b="0" i="1" kern="1200"/>
        </a:p>
      </dsp:txBody>
      <dsp:txXfrm>
        <a:off x="2126032" y="14411"/>
        <a:ext cx="1864923" cy="259200"/>
      </dsp:txXfrm>
    </dsp:sp>
    <dsp:sp modelId="{364740E0-9A3D-40B9-9EEB-2C6696FE9C61}">
      <dsp:nvSpPr>
        <dsp:cNvPr id="0" name=""/>
        <dsp:cNvSpPr/>
      </dsp:nvSpPr>
      <dsp:spPr>
        <a:xfrm>
          <a:off x="2126032" y="273611"/>
          <a:ext cx="1864923" cy="211227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Application</a:t>
          </a:r>
        </a:p>
        <a:p>
          <a:pPr marL="57150" lvl="1" indent="-57150" algn="l" defTabSz="488950">
            <a:lnSpc>
              <a:spcPct val="90000"/>
            </a:lnSpc>
            <a:spcBef>
              <a:spcPct val="0"/>
            </a:spcBef>
            <a:spcAft>
              <a:spcPct val="15000"/>
            </a:spcAft>
            <a:buChar char="•"/>
          </a:pPr>
          <a:r>
            <a:rPr lang="en-US" sz="1100" kern="1200"/>
            <a:t>Compute</a:t>
          </a:r>
        </a:p>
        <a:p>
          <a:pPr marL="57150" lvl="1" indent="-57150" algn="l" defTabSz="488950">
            <a:lnSpc>
              <a:spcPct val="90000"/>
            </a:lnSpc>
            <a:spcBef>
              <a:spcPct val="0"/>
            </a:spcBef>
            <a:spcAft>
              <a:spcPct val="15000"/>
            </a:spcAft>
            <a:buChar char="•"/>
          </a:pPr>
          <a:r>
            <a:rPr lang="en-US" sz="1100" kern="1200"/>
            <a:t>Data Center</a:t>
          </a:r>
        </a:p>
        <a:p>
          <a:pPr marL="57150" lvl="1" indent="-57150" algn="l" defTabSz="488950">
            <a:lnSpc>
              <a:spcPct val="90000"/>
            </a:lnSpc>
            <a:spcBef>
              <a:spcPct val="0"/>
            </a:spcBef>
            <a:spcAft>
              <a:spcPct val="15000"/>
            </a:spcAft>
            <a:buChar char="•"/>
          </a:pPr>
          <a:r>
            <a:rPr lang="en-US" sz="1100" kern="1200"/>
            <a:t>Delivery</a:t>
          </a:r>
        </a:p>
        <a:p>
          <a:pPr marL="57150" lvl="1" indent="-57150" algn="l" defTabSz="488950">
            <a:lnSpc>
              <a:spcPct val="90000"/>
            </a:lnSpc>
            <a:spcBef>
              <a:spcPct val="0"/>
            </a:spcBef>
            <a:spcAft>
              <a:spcPct val="15000"/>
            </a:spcAft>
            <a:buChar char="•"/>
          </a:pPr>
          <a:r>
            <a:rPr lang="en-US" sz="1100" kern="1200"/>
            <a:t>End User</a:t>
          </a:r>
        </a:p>
        <a:p>
          <a:pPr marL="57150" lvl="1" indent="-57150" algn="l" defTabSz="488950">
            <a:lnSpc>
              <a:spcPct val="90000"/>
            </a:lnSpc>
            <a:spcBef>
              <a:spcPct val="0"/>
            </a:spcBef>
            <a:spcAft>
              <a:spcPct val="15000"/>
            </a:spcAft>
            <a:buChar char="•"/>
          </a:pPr>
          <a:r>
            <a:rPr lang="en-US" sz="1100" kern="1200"/>
            <a:t>IT Management</a:t>
          </a:r>
        </a:p>
        <a:p>
          <a:pPr marL="57150" lvl="1" indent="-57150" algn="l" defTabSz="488950">
            <a:lnSpc>
              <a:spcPct val="90000"/>
            </a:lnSpc>
            <a:spcBef>
              <a:spcPct val="0"/>
            </a:spcBef>
            <a:spcAft>
              <a:spcPct val="15000"/>
            </a:spcAft>
            <a:buChar char="•"/>
          </a:pPr>
          <a:r>
            <a:rPr lang="en-US" sz="1100" kern="1200"/>
            <a:t>Network</a:t>
          </a:r>
        </a:p>
        <a:p>
          <a:pPr marL="57150" lvl="1" indent="-57150" algn="l" defTabSz="488950">
            <a:lnSpc>
              <a:spcPct val="90000"/>
            </a:lnSpc>
            <a:spcBef>
              <a:spcPct val="0"/>
            </a:spcBef>
            <a:spcAft>
              <a:spcPct val="15000"/>
            </a:spcAft>
            <a:buChar char="•"/>
          </a:pPr>
          <a:r>
            <a:rPr lang="en-US" sz="1100" kern="1200"/>
            <a:t>Output</a:t>
          </a:r>
        </a:p>
        <a:p>
          <a:pPr marL="57150" lvl="1" indent="-57150" algn="l" defTabSz="488950">
            <a:lnSpc>
              <a:spcPct val="90000"/>
            </a:lnSpc>
            <a:spcBef>
              <a:spcPct val="0"/>
            </a:spcBef>
            <a:spcAft>
              <a:spcPct val="15000"/>
            </a:spcAft>
            <a:buChar char="•"/>
          </a:pPr>
          <a:r>
            <a:rPr lang="en-US" sz="1100" kern="1200"/>
            <a:t>Platform</a:t>
          </a:r>
        </a:p>
        <a:p>
          <a:pPr marL="57150" lvl="1" indent="-57150" algn="l" defTabSz="488950">
            <a:lnSpc>
              <a:spcPct val="90000"/>
            </a:lnSpc>
            <a:spcBef>
              <a:spcPct val="0"/>
            </a:spcBef>
            <a:spcAft>
              <a:spcPct val="15000"/>
            </a:spcAft>
            <a:buChar char="•"/>
          </a:pPr>
          <a:r>
            <a:rPr lang="en-US" sz="1100" kern="1200"/>
            <a:t>Security &amp; Compliance</a:t>
          </a:r>
        </a:p>
        <a:p>
          <a:pPr marL="57150" lvl="1" indent="-57150" algn="l" defTabSz="488950">
            <a:lnSpc>
              <a:spcPct val="90000"/>
            </a:lnSpc>
            <a:spcBef>
              <a:spcPct val="0"/>
            </a:spcBef>
            <a:spcAft>
              <a:spcPct val="15000"/>
            </a:spcAft>
            <a:buChar char="•"/>
          </a:pPr>
          <a:r>
            <a:rPr lang="en-US" sz="1100" kern="1200"/>
            <a:t>Storage</a:t>
          </a:r>
        </a:p>
      </dsp:txBody>
      <dsp:txXfrm>
        <a:off x="2126032" y="273611"/>
        <a:ext cx="1864923" cy="2112277"/>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56311-2DEE-4D5B-B5FA-0EBD3299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4231</Words>
  <Characters>24121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Biodiesel Use by Washington State Agencies, Jul-Dec 2015</vt:lpstr>
    </vt:vector>
  </TitlesOfParts>
  <Company>State of Washington</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Biodiesel Use by Washington State Agencies, Jul-Dec 2015</dc:title>
  <dc:subject/>
  <dc:creator>Linville, Rebecca (DES)</dc:creator>
  <cp:keywords/>
  <dc:description/>
  <cp:lastModifiedBy>Pretty, Jon (DES)</cp:lastModifiedBy>
  <cp:revision>2</cp:revision>
  <cp:lastPrinted>2019-06-25T15:59:00Z</cp:lastPrinted>
  <dcterms:created xsi:type="dcterms:W3CDTF">2022-01-07T17:16:00Z</dcterms:created>
  <dcterms:modified xsi:type="dcterms:W3CDTF">2022-01-07T17:16:00Z</dcterms:modified>
</cp:coreProperties>
</file>