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319" w:rsidRDefault="00A27841" w:rsidP="00AE238D">
      <w:pPr>
        <w:pStyle w:val="Title"/>
        <w:jc w:val="center"/>
      </w:pPr>
      <w:r>
        <w:rPr>
          <w:noProof/>
          <w:lang w:eastAsia="en-US"/>
        </w:rPr>
        <w:drawing>
          <wp:anchor distT="0" distB="0" distL="114300" distR="114300" simplePos="0" relativeHeight="251661312" behindDoc="0" locked="0" layoutInCell="1" allowOverlap="1">
            <wp:simplePos x="0" y="0"/>
            <wp:positionH relativeFrom="margin">
              <wp:align>center</wp:align>
            </wp:positionH>
            <wp:positionV relativeFrom="paragraph">
              <wp:posOffset>1414780</wp:posOffset>
            </wp:positionV>
            <wp:extent cx="1301817" cy="2857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es.png"/>
                    <pic:cNvPicPr/>
                  </pic:nvPicPr>
                  <pic:blipFill>
                    <a:blip r:embed="rId9">
                      <a:extLst>
                        <a:ext uri="{28A0092B-C50C-407E-A947-70E740481C1C}">
                          <a14:useLocalDpi xmlns:a14="http://schemas.microsoft.com/office/drawing/2010/main" val="0"/>
                        </a:ext>
                      </a:extLst>
                    </a:blip>
                    <a:stretch>
                      <a:fillRect/>
                    </a:stretch>
                  </pic:blipFill>
                  <pic:spPr>
                    <a:xfrm>
                      <a:off x="0" y="0"/>
                      <a:ext cx="1301817" cy="285765"/>
                    </a:xfrm>
                    <a:prstGeom prst="rect">
                      <a:avLst/>
                    </a:prstGeom>
                  </pic:spPr>
                </pic:pic>
              </a:graphicData>
            </a:graphic>
          </wp:anchor>
        </w:drawing>
      </w:r>
      <w:r w:rsidR="00AE238D">
        <w:rPr>
          <w:noProof/>
          <w:lang w:eastAsia="en-US"/>
        </w:rPr>
        <w:drawing>
          <wp:inline distT="0" distB="0" distL="0" distR="0">
            <wp:extent cx="5749070" cy="17716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45784" cy="1832270"/>
                    </a:xfrm>
                    <a:prstGeom prst="rect">
                      <a:avLst/>
                    </a:prstGeom>
                    <a:noFill/>
                    <a:ln>
                      <a:noFill/>
                    </a:ln>
                  </pic:spPr>
                </pic:pic>
              </a:graphicData>
            </a:graphic>
          </wp:inline>
        </w:drawing>
      </w:r>
    </w:p>
    <w:p w:rsidR="00F12BFF" w:rsidRDefault="00111FD0" w:rsidP="00F12BFF">
      <w:pPr>
        <w:pStyle w:val="Quote"/>
        <w:rPr>
          <w:rFonts w:cs="Calibri"/>
          <w:sz w:val="24"/>
          <w:szCs w:val="24"/>
        </w:rPr>
      </w:pPr>
      <w:r w:rsidRPr="00111FD0">
        <w:rPr>
          <w:rFonts w:cs="Calibri"/>
          <w:sz w:val="24"/>
          <w:szCs w:val="24"/>
        </w:rPr>
        <w:t>Not everything that is faced can be changed, but nothing can be changed until it is faced</w:t>
      </w:r>
      <w:r>
        <w:rPr>
          <w:rFonts w:cs="Calibri"/>
          <w:sz w:val="24"/>
          <w:szCs w:val="24"/>
        </w:rPr>
        <w:t xml:space="preserve"> – James Baldwin</w:t>
      </w:r>
    </w:p>
    <w:p w:rsidR="0056778A" w:rsidRDefault="00A9474C" w:rsidP="0056778A">
      <w:pPr>
        <w:pStyle w:val="Heading2"/>
      </w:pPr>
      <w:bookmarkStart w:id="0" w:name="_Engaging_in_Race"/>
      <w:bookmarkStart w:id="1" w:name="_Anti-Asian/Pacific_Islander_Violenc"/>
      <w:bookmarkStart w:id="2" w:name="_Director’s_Corner"/>
      <w:bookmarkStart w:id="3" w:name="_Sexual_Assault_Awareness,"/>
      <w:bookmarkStart w:id="4" w:name="_Mental_Health_Awareness"/>
      <w:bookmarkStart w:id="5" w:name="_Pride_Month_2021"/>
      <w:bookmarkStart w:id="6" w:name="_Supporting_Employees_During"/>
      <w:bookmarkEnd w:id="0"/>
      <w:bookmarkEnd w:id="1"/>
      <w:bookmarkEnd w:id="2"/>
      <w:bookmarkEnd w:id="3"/>
      <w:bookmarkEnd w:id="4"/>
      <w:bookmarkEnd w:id="5"/>
      <w:bookmarkEnd w:id="6"/>
      <w:r>
        <w:rPr>
          <w:noProof/>
          <w:lang w:eastAsia="en-US"/>
        </w:rPr>
        <mc:AlternateContent>
          <mc:Choice Requires="wps">
            <w:drawing>
              <wp:anchor distT="182880" distB="182880" distL="274320" distR="274320" simplePos="0" relativeHeight="251659264" behindDoc="0" locked="0" layoutInCell="1" allowOverlap="0">
                <wp:simplePos x="0" y="0"/>
                <wp:positionH relativeFrom="margin">
                  <wp:align>left</wp:align>
                </wp:positionH>
                <wp:positionV relativeFrom="paragraph">
                  <wp:posOffset>146050</wp:posOffset>
                </wp:positionV>
                <wp:extent cx="2095500" cy="4908550"/>
                <wp:effectExtent l="0" t="0" r="0" b="635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095500" cy="490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518" w:type="dxa"/>
                              <w:tblBorders>
                                <w:top w:val="single" w:sz="4" w:space="0" w:color="auto"/>
                                <w:left w:val="single" w:sz="4" w:space="0" w:color="auto"/>
                                <w:bottom w:val="single" w:sz="4" w:space="0" w:color="auto"/>
                                <w:right w:val="single" w:sz="4" w:space="0" w:color="auto"/>
                                <w:insideH w:val="single" w:sz="4" w:space="0" w:color="auto"/>
                              </w:tblBorders>
                              <w:shd w:val="clear" w:color="auto" w:fill="1F497D" w:themeFill="text2"/>
                              <w:tblLayout w:type="fixed"/>
                              <w:tblCellMar>
                                <w:left w:w="0" w:type="dxa"/>
                                <w:right w:w="0" w:type="dxa"/>
                              </w:tblCellMar>
                              <w:tblLook w:val="04A0" w:firstRow="1" w:lastRow="0" w:firstColumn="1" w:lastColumn="0" w:noHBand="0" w:noVBand="1"/>
                              <w:tblDescription w:val="Sidebar layout table"/>
                            </w:tblPr>
                            <w:tblGrid>
                              <w:gridCol w:w="3518"/>
                            </w:tblGrid>
                            <w:tr w:rsidR="00A82319" w:rsidTr="00EE54B4">
                              <w:trPr>
                                <w:trHeight w:hRule="exact" w:val="7858"/>
                              </w:trPr>
                              <w:tc>
                                <w:tcPr>
                                  <w:tcW w:w="3518" w:type="dxa"/>
                                  <w:shd w:val="clear" w:color="auto" w:fill="1F497D" w:themeFill="text2"/>
                                  <w:tcMar>
                                    <w:top w:w="288" w:type="dxa"/>
                                    <w:bottom w:w="288" w:type="dxa"/>
                                  </w:tcMar>
                                </w:tcPr>
                                <w:p w:rsidR="00A82319" w:rsidRDefault="00717B9C">
                                  <w:pPr>
                                    <w:pStyle w:val="BlockHeading"/>
                                  </w:pPr>
                                  <w:r>
                                    <w:t>In this month’s n</w:t>
                                  </w:r>
                                  <w:r w:rsidR="00AE238D">
                                    <w:t>ewsletter:</w:t>
                                  </w:r>
                                </w:p>
                                <w:p w:rsidR="005627FB" w:rsidRPr="00302482" w:rsidRDefault="00B734F0" w:rsidP="00EE54B4">
                                  <w:pPr>
                                    <w:pStyle w:val="BlockText"/>
                                    <w:spacing w:after="120"/>
                                    <w:rPr>
                                      <w:rStyle w:val="Hyperlink"/>
                                      <w:color w:val="FFFFFF" w:themeColor="background1"/>
                                      <w:u w:val="none"/>
                                    </w:rPr>
                                  </w:pPr>
                                  <w:hyperlink w:anchor="_Supporting_Employees_During" w:history="1">
                                    <w:r w:rsidR="00302482" w:rsidRPr="00302482">
                                      <w:rPr>
                                        <w:rStyle w:val="Hyperlink"/>
                                        <w:color w:val="FFFFFF" w:themeColor="background1"/>
                                      </w:rPr>
                                      <w:t>Supporting Employees During Transitions</w:t>
                                    </w:r>
                                  </w:hyperlink>
                                </w:p>
                                <w:p w:rsidR="008F05F7" w:rsidRPr="00490979" w:rsidRDefault="00490979" w:rsidP="00EE54B4">
                                  <w:pPr>
                                    <w:pStyle w:val="BlockText"/>
                                    <w:spacing w:after="120"/>
                                    <w:rPr>
                                      <w:rStyle w:val="Hyperlink"/>
                                    </w:rPr>
                                  </w:pPr>
                                  <w:r>
                                    <w:fldChar w:fldCharType="begin"/>
                                  </w:r>
                                  <w:r>
                                    <w:instrText xml:space="preserve"> HYPERLINK  \l "_Upcoming_EAP_Live" </w:instrText>
                                  </w:r>
                                  <w:r>
                                    <w:fldChar w:fldCharType="separate"/>
                                  </w:r>
                                  <w:r w:rsidRPr="00490979">
                                    <w:rPr>
                                      <w:rStyle w:val="Hyperlink"/>
                                      <w:color w:val="FFFFFF" w:themeColor="background1"/>
                                    </w:rPr>
                                    <w:t>Upcoming EAP Live Webinars</w:t>
                                  </w:r>
                                </w:p>
                                <w:p w:rsidR="008F05F7" w:rsidRDefault="00490979" w:rsidP="00EE54B4">
                                  <w:pPr>
                                    <w:pStyle w:val="BlockText"/>
                                    <w:spacing w:after="120"/>
                                    <w:rPr>
                                      <w:rStyle w:val="Hyperlink"/>
                                      <w:color w:val="FFFFFF" w:themeColor="background1"/>
                                    </w:rPr>
                                  </w:pPr>
                                  <w:r>
                                    <w:fldChar w:fldCharType="end"/>
                                  </w:r>
                                  <w:hyperlink w:anchor="_Articles" w:history="1">
                                    <w:r w:rsidR="00D66BB5">
                                      <w:rPr>
                                        <w:rStyle w:val="Hyperlink"/>
                                        <w:color w:val="FFFFFF" w:themeColor="background1"/>
                                      </w:rPr>
                                      <w:t>Articles</w:t>
                                    </w:r>
                                  </w:hyperlink>
                                </w:p>
                                <w:p w:rsidR="00CA6F89" w:rsidRPr="00CA6F89" w:rsidRDefault="00B734F0" w:rsidP="00EE54B4">
                                  <w:pPr>
                                    <w:pStyle w:val="BlockText"/>
                                    <w:spacing w:after="120"/>
                                    <w:rPr>
                                      <w:rStyle w:val="Hyperlink"/>
                                      <w:color w:val="FFFFFF" w:themeColor="background1"/>
                                    </w:rPr>
                                  </w:pPr>
                                  <w:hyperlink w:anchor="_Resources" w:history="1">
                                    <w:r w:rsidR="00CA6F89" w:rsidRPr="00CA6F89">
                                      <w:rPr>
                                        <w:rStyle w:val="Hyperlink"/>
                                        <w:color w:val="FFFFFF" w:themeColor="background1"/>
                                      </w:rPr>
                                      <w:t>Resources</w:t>
                                    </w:r>
                                  </w:hyperlink>
                                </w:p>
                                <w:p w:rsidR="00717B9C" w:rsidRDefault="00717B9C" w:rsidP="00717B9C">
                                  <w:pPr>
                                    <w:pStyle w:val="BlockHeading"/>
                                  </w:pPr>
                                  <w:r>
                                    <w:t>Contact EAP</w:t>
                                  </w:r>
                                </w:p>
                                <w:p w:rsidR="00717B9C" w:rsidRPr="0000349C" w:rsidRDefault="0000349C" w:rsidP="004A7F68">
                                  <w:pPr>
                                    <w:spacing w:after="0"/>
                                    <w:ind w:left="288"/>
                                    <w:rPr>
                                      <w:rStyle w:val="Hyperlink"/>
                                      <w:color w:val="FFFFFF" w:themeColor="background1"/>
                                    </w:rPr>
                                  </w:pPr>
                                  <w:r w:rsidRPr="0000349C">
                                    <w:rPr>
                                      <w:color w:val="FFFFFF" w:themeColor="background1"/>
                                    </w:rPr>
                                    <w:fldChar w:fldCharType="begin"/>
                                  </w:r>
                                  <w:r w:rsidRPr="0000349C">
                                    <w:rPr>
                                      <w:color w:val="FFFFFF" w:themeColor="background1"/>
                                    </w:rPr>
                                    <w:instrText xml:space="preserve"> HYPERLINK "https://des.wa.gov/services/hr-finance/washington-state-employee-assistance-program-eap/webinars" </w:instrText>
                                  </w:r>
                                  <w:r w:rsidRPr="0000349C">
                                    <w:rPr>
                                      <w:color w:val="FFFFFF" w:themeColor="background1"/>
                                    </w:rPr>
                                    <w:fldChar w:fldCharType="separate"/>
                                  </w:r>
                                  <w:r w:rsidR="00717B9C" w:rsidRPr="0000349C">
                                    <w:rPr>
                                      <w:rStyle w:val="Hyperlink"/>
                                      <w:color w:val="FFFFFF" w:themeColor="background1"/>
                                    </w:rPr>
                                    <w:t>eap.wa.gov</w:t>
                                  </w:r>
                                </w:p>
                                <w:p w:rsidR="00717B9C" w:rsidRPr="00717B9C" w:rsidRDefault="0000349C" w:rsidP="004A7F68">
                                  <w:pPr>
                                    <w:spacing w:after="0"/>
                                    <w:ind w:left="288"/>
                                    <w:rPr>
                                      <w:color w:val="FFFFFF" w:themeColor="background1"/>
                                    </w:rPr>
                                  </w:pPr>
                                  <w:r w:rsidRPr="0000349C">
                                    <w:rPr>
                                      <w:color w:val="FFFFFF" w:themeColor="background1"/>
                                    </w:rPr>
                                    <w:fldChar w:fldCharType="end"/>
                                  </w:r>
                                  <w:r w:rsidR="004A7F68">
                                    <w:rPr>
                                      <w:color w:val="FFFFFF" w:themeColor="background1"/>
                                    </w:rPr>
                                    <w:t xml:space="preserve">Toll </w:t>
                                  </w:r>
                                  <w:r w:rsidR="00717B9C" w:rsidRPr="00717B9C">
                                    <w:rPr>
                                      <w:color w:val="FFFFFF" w:themeColor="background1"/>
                                    </w:rPr>
                                    <w:t>free: (877) 313-4455</w:t>
                                  </w:r>
                                </w:p>
                                <w:p w:rsidR="00717B9C" w:rsidRPr="00717B9C" w:rsidRDefault="00717B9C" w:rsidP="004A7F68">
                                  <w:pPr>
                                    <w:spacing w:after="0"/>
                                    <w:ind w:left="288"/>
                                    <w:rPr>
                                      <w:color w:val="FFFFFF" w:themeColor="background1"/>
                                    </w:rPr>
                                  </w:pPr>
                                  <w:r w:rsidRPr="00717B9C">
                                    <w:rPr>
                                      <w:color w:val="FFFFFF" w:themeColor="background1"/>
                                    </w:rPr>
                                    <w:t>Ph</w:t>
                                  </w:r>
                                  <w:r w:rsidR="004A7F68">
                                    <w:rPr>
                                      <w:color w:val="FFFFFF" w:themeColor="background1"/>
                                    </w:rPr>
                                    <w:t>one</w:t>
                                  </w:r>
                                  <w:r w:rsidRPr="00717B9C">
                                    <w:rPr>
                                      <w:color w:val="FFFFFF" w:themeColor="background1"/>
                                    </w:rPr>
                                    <w:t>: (360) 407-9490</w:t>
                                  </w:r>
                                </w:p>
                                <w:p w:rsidR="00717B9C" w:rsidRPr="00717B9C" w:rsidRDefault="00717B9C" w:rsidP="004A7F68">
                                  <w:pPr>
                                    <w:spacing w:after="0"/>
                                    <w:ind w:left="288"/>
                                    <w:rPr>
                                      <w:color w:val="FFFFFF" w:themeColor="background1"/>
                                    </w:rPr>
                                  </w:pPr>
                                  <w:r w:rsidRPr="00717B9C">
                                    <w:rPr>
                                      <w:color w:val="FFFFFF" w:themeColor="background1"/>
                                    </w:rPr>
                                    <w:t xml:space="preserve">Interpreters available. </w:t>
                                  </w:r>
                                </w:p>
                                <w:p w:rsidR="00717B9C" w:rsidRPr="00717B9C" w:rsidRDefault="0000349C" w:rsidP="0000349C">
                                  <w:pPr>
                                    <w:pStyle w:val="BlockText"/>
                                    <w:spacing w:after="0"/>
                                  </w:pPr>
                                  <w:r>
                                    <w:t xml:space="preserve">TTY:  </w:t>
                                  </w:r>
                                  <w:r w:rsidR="00717B9C" w:rsidRPr="00717B9C">
                                    <w:t xml:space="preserve">call </w:t>
                                  </w:r>
                                  <w:r>
                                    <w:t xml:space="preserve">711 </w:t>
                                  </w:r>
                                  <w:r w:rsidR="00717B9C" w:rsidRPr="00717B9C">
                                    <w:t xml:space="preserve">via WA </w:t>
                                  </w:r>
                                  <w:r>
                                    <w:t xml:space="preserve">Relay </w:t>
                                  </w:r>
                                </w:p>
                              </w:tc>
                            </w:tr>
                          </w:tbl>
                          <w:p w:rsidR="00A82319" w:rsidRDefault="00A82319">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ext box sidebar" style="position:absolute;margin-left:0;margin-top:11.5pt;width:165pt;height:386.5pt;z-index:251659264;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" o:allowoverlap="f" filled="f" stroked="f" strokeweight=".5pt">
                <v:textbox inset="0,0,0,0">
                  <w:txbxContent>
                    <w:tbl>
                      <w:tblPr>
                        <w:tblW w:w="3518" w:type="dxa"/>
                        <w:tblBorders>
                          <w:top w:val="single" w:sz="4" w:space="0" w:color="auto"/>
                          <w:left w:val="single" w:sz="4" w:space="0" w:color="auto"/>
                          <w:bottom w:val="single" w:sz="4" w:space="0" w:color="auto"/>
                          <w:right w:val="single" w:sz="4" w:space="0" w:color="auto"/>
                          <w:insideH w:val="single" w:sz="4" w:space="0" w:color="auto"/>
                        </w:tblBorders>
                        <w:shd w:val="clear" w:color="auto" w:fill="1F497D" w:themeFill="text2"/>
                        <w:tblLayout w:type="fixed"/>
                        <w:tblCellMar>
                          <w:left w:w="0" w:type="dxa"/>
                          <w:right w:w="0" w:type="dxa"/>
                        </w:tblCellMar>
                        <w:tblLook w:val="04A0" w:firstRow="1" w:lastRow="0" w:firstColumn="1" w:lastColumn="0" w:noHBand="0" w:noVBand="1"/>
                        <w:tblDescription w:val="Sidebar layout table"/>
                      </w:tblPr>
                      <w:tblGrid>
                        <w:gridCol w:w="3518"/>
                      </w:tblGrid>
                      <w:tr w:rsidR="00A82319" w:rsidTr="00EE54B4">
                        <w:trPr>
                          <w:trHeight w:hRule="exact" w:val="7858"/>
                        </w:trPr>
                        <w:tc>
                          <w:tcPr>
                            <w:tcW w:w="3518" w:type="dxa"/>
                            <w:shd w:val="clear" w:color="auto" w:fill="1F497D" w:themeFill="text2"/>
                            <w:tcMar>
                              <w:top w:w="288" w:type="dxa"/>
                              <w:bottom w:w="288" w:type="dxa"/>
                            </w:tcMar>
                          </w:tcPr>
                          <w:p w:rsidR="00A82319" w:rsidRDefault="00717B9C">
                            <w:pPr>
                              <w:pStyle w:val="BlockHeading"/>
                            </w:pPr>
                            <w:r>
                              <w:t>In this month’s n</w:t>
                            </w:r>
                            <w:r w:rsidR="00AE238D">
                              <w:t>ewsletter:</w:t>
                            </w:r>
                          </w:p>
                          <w:p w:rsidR="005627FB" w:rsidRPr="00302482" w:rsidRDefault="00B734F0" w:rsidP="00EE54B4">
                            <w:pPr>
                              <w:pStyle w:val="BlockText"/>
                              <w:spacing w:after="120"/>
                              <w:rPr>
                                <w:rStyle w:val="Hyperlink"/>
                                <w:color w:val="FFFFFF" w:themeColor="background1"/>
                                <w:u w:val="none"/>
                              </w:rPr>
                            </w:pPr>
                            <w:hyperlink w:anchor="_Supporting_Employees_During" w:history="1">
                              <w:r w:rsidR="00302482" w:rsidRPr="00302482">
                                <w:rPr>
                                  <w:rStyle w:val="Hyperlink"/>
                                  <w:color w:val="FFFFFF" w:themeColor="background1"/>
                                </w:rPr>
                                <w:t>Supporting Employees During Transitions</w:t>
                              </w:r>
                            </w:hyperlink>
                          </w:p>
                          <w:p w:rsidR="008F05F7" w:rsidRPr="00490979" w:rsidRDefault="00490979" w:rsidP="00EE54B4">
                            <w:pPr>
                              <w:pStyle w:val="BlockText"/>
                              <w:spacing w:after="120"/>
                              <w:rPr>
                                <w:rStyle w:val="Hyperlink"/>
                              </w:rPr>
                            </w:pPr>
                            <w:r>
                              <w:fldChar w:fldCharType="begin"/>
                            </w:r>
                            <w:r>
                              <w:instrText xml:space="preserve"> HYPERLINK  \l "_Upcoming_EAP_Live" </w:instrText>
                            </w:r>
                            <w:r>
                              <w:fldChar w:fldCharType="separate"/>
                            </w:r>
                            <w:r w:rsidRPr="00490979">
                              <w:rPr>
                                <w:rStyle w:val="Hyperlink"/>
                                <w:color w:val="FFFFFF" w:themeColor="background1"/>
                              </w:rPr>
                              <w:t>Upcoming EAP Live Webinars</w:t>
                            </w:r>
                          </w:p>
                          <w:p w:rsidR="008F05F7" w:rsidRDefault="00490979" w:rsidP="00EE54B4">
                            <w:pPr>
                              <w:pStyle w:val="BlockText"/>
                              <w:spacing w:after="120"/>
                              <w:rPr>
                                <w:rStyle w:val="Hyperlink"/>
                                <w:color w:val="FFFFFF" w:themeColor="background1"/>
                              </w:rPr>
                            </w:pPr>
                            <w:r>
                              <w:fldChar w:fldCharType="end"/>
                            </w:r>
                            <w:hyperlink w:anchor="_Articles" w:history="1">
                              <w:r w:rsidR="00D66BB5">
                                <w:rPr>
                                  <w:rStyle w:val="Hyperlink"/>
                                  <w:color w:val="FFFFFF" w:themeColor="background1"/>
                                </w:rPr>
                                <w:t>Articles</w:t>
                              </w:r>
                            </w:hyperlink>
                          </w:p>
                          <w:p w:rsidR="00CA6F89" w:rsidRPr="00CA6F89" w:rsidRDefault="00B734F0" w:rsidP="00EE54B4">
                            <w:pPr>
                              <w:pStyle w:val="BlockText"/>
                              <w:spacing w:after="120"/>
                              <w:rPr>
                                <w:rStyle w:val="Hyperlink"/>
                                <w:color w:val="FFFFFF" w:themeColor="background1"/>
                              </w:rPr>
                            </w:pPr>
                            <w:hyperlink w:anchor="_Resources" w:history="1">
                              <w:r w:rsidR="00CA6F89" w:rsidRPr="00CA6F89">
                                <w:rPr>
                                  <w:rStyle w:val="Hyperlink"/>
                                  <w:color w:val="FFFFFF" w:themeColor="background1"/>
                                </w:rPr>
                                <w:t>Resources</w:t>
                              </w:r>
                            </w:hyperlink>
                          </w:p>
                          <w:p w:rsidR="00717B9C" w:rsidRDefault="00717B9C" w:rsidP="00717B9C">
                            <w:pPr>
                              <w:pStyle w:val="BlockHeading"/>
                            </w:pPr>
                            <w:r>
                              <w:t>Contact EAP</w:t>
                            </w:r>
                          </w:p>
                          <w:p w:rsidR="00717B9C" w:rsidRPr="0000349C" w:rsidRDefault="0000349C" w:rsidP="004A7F68">
                            <w:pPr>
                              <w:spacing w:after="0"/>
                              <w:ind w:left="288"/>
                              <w:rPr>
                                <w:rStyle w:val="Hyperlink"/>
                                <w:color w:val="FFFFFF" w:themeColor="background1"/>
                              </w:rPr>
                            </w:pPr>
                            <w:r w:rsidRPr="0000349C">
                              <w:rPr>
                                <w:color w:val="FFFFFF" w:themeColor="background1"/>
                              </w:rPr>
                              <w:fldChar w:fldCharType="begin"/>
                            </w:r>
                            <w:r w:rsidRPr="0000349C">
                              <w:rPr>
                                <w:color w:val="FFFFFF" w:themeColor="background1"/>
                              </w:rPr>
                              <w:instrText xml:space="preserve"> HYPERLINK "https://des.wa.gov/services/hr-finance/washington-state-employee-assistance-program-eap/webinars" </w:instrText>
                            </w:r>
                            <w:r w:rsidRPr="0000349C">
                              <w:rPr>
                                <w:color w:val="FFFFFF" w:themeColor="background1"/>
                              </w:rPr>
                              <w:fldChar w:fldCharType="separate"/>
                            </w:r>
                            <w:r w:rsidR="00717B9C" w:rsidRPr="0000349C">
                              <w:rPr>
                                <w:rStyle w:val="Hyperlink"/>
                                <w:color w:val="FFFFFF" w:themeColor="background1"/>
                              </w:rPr>
                              <w:t>eap.wa.gov</w:t>
                            </w:r>
                          </w:p>
                          <w:p w:rsidR="00717B9C" w:rsidRPr="00717B9C" w:rsidRDefault="0000349C" w:rsidP="004A7F68">
                            <w:pPr>
                              <w:spacing w:after="0"/>
                              <w:ind w:left="288"/>
                              <w:rPr>
                                <w:color w:val="FFFFFF" w:themeColor="background1"/>
                              </w:rPr>
                            </w:pPr>
                            <w:r w:rsidRPr="0000349C">
                              <w:rPr>
                                <w:color w:val="FFFFFF" w:themeColor="background1"/>
                              </w:rPr>
                              <w:fldChar w:fldCharType="end"/>
                            </w:r>
                            <w:r w:rsidR="004A7F68">
                              <w:rPr>
                                <w:color w:val="FFFFFF" w:themeColor="background1"/>
                              </w:rPr>
                              <w:t xml:space="preserve">Toll </w:t>
                            </w:r>
                            <w:r w:rsidR="00717B9C" w:rsidRPr="00717B9C">
                              <w:rPr>
                                <w:color w:val="FFFFFF" w:themeColor="background1"/>
                              </w:rPr>
                              <w:t>free: (877) 313-4455</w:t>
                            </w:r>
                          </w:p>
                          <w:p w:rsidR="00717B9C" w:rsidRPr="00717B9C" w:rsidRDefault="00717B9C" w:rsidP="004A7F68">
                            <w:pPr>
                              <w:spacing w:after="0"/>
                              <w:ind w:left="288"/>
                              <w:rPr>
                                <w:color w:val="FFFFFF" w:themeColor="background1"/>
                              </w:rPr>
                            </w:pPr>
                            <w:r w:rsidRPr="00717B9C">
                              <w:rPr>
                                <w:color w:val="FFFFFF" w:themeColor="background1"/>
                              </w:rPr>
                              <w:t>Ph</w:t>
                            </w:r>
                            <w:r w:rsidR="004A7F68">
                              <w:rPr>
                                <w:color w:val="FFFFFF" w:themeColor="background1"/>
                              </w:rPr>
                              <w:t>one</w:t>
                            </w:r>
                            <w:r w:rsidRPr="00717B9C">
                              <w:rPr>
                                <w:color w:val="FFFFFF" w:themeColor="background1"/>
                              </w:rPr>
                              <w:t>: (360) 407-9490</w:t>
                            </w:r>
                          </w:p>
                          <w:p w:rsidR="00717B9C" w:rsidRPr="00717B9C" w:rsidRDefault="00717B9C" w:rsidP="004A7F68">
                            <w:pPr>
                              <w:spacing w:after="0"/>
                              <w:ind w:left="288"/>
                              <w:rPr>
                                <w:color w:val="FFFFFF" w:themeColor="background1"/>
                              </w:rPr>
                            </w:pPr>
                            <w:r w:rsidRPr="00717B9C">
                              <w:rPr>
                                <w:color w:val="FFFFFF" w:themeColor="background1"/>
                              </w:rPr>
                              <w:t xml:space="preserve">Interpreters available. </w:t>
                            </w:r>
                          </w:p>
                          <w:p w:rsidR="00717B9C" w:rsidRPr="00717B9C" w:rsidRDefault="0000349C" w:rsidP="0000349C">
                            <w:pPr>
                              <w:pStyle w:val="BlockText"/>
                              <w:spacing w:after="0"/>
                            </w:pPr>
                            <w:r>
                              <w:t xml:space="preserve">TTY:  </w:t>
                            </w:r>
                            <w:r w:rsidR="00717B9C" w:rsidRPr="00717B9C">
                              <w:t xml:space="preserve">call </w:t>
                            </w:r>
                            <w:r>
                              <w:t xml:space="preserve">711 </w:t>
                            </w:r>
                            <w:r w:rsidR="00717B9C" w:rsidRPr="00717B9C">
                              <w:t xml:space="preserve">via WA </w:t>
                            </w:r>
                            <w:r>
                              <w:t xml:space="preserve">Relay </w:t>
                            </w:r>
                          </w:p>
                        </w:tc>
                      </w:tr>
                    </w:tbl>
                    <w:p w:rsidR="00A82319" w:rsidRDefault="00A82319">
                      <w:pPr>
                        <w:pStyle w:val="Caption"/>
                      </w:pPr>
                    </w:p>
                  </w:txbxContent>
                </v:textbox>
                <w10:wrap type="square" anchorx="margin"/>
              </v:shape>
            </w:pict>
          </mc:Fallback>
        </mc:AlternateContent>
      </w:r>
      <w:bookmarkStart w:id="7" w:name="_Leading_with_Compassion"/>
      <w:bookmarkEnd w:id="7"/>
      <w:r w:rsidR="00302482">
        <w:t xml:space="preserve">Supporting </w:t>
      </w:r>
      <w:r w:rsidR="00FE5C04">
        <w:t>the Workforce</w:t>
      </w:r>
      <w:r w:rsidR="00A71093">
        <w:t xml:space="preserve"> D</w:t>
      </w:r>
      <w:r w:rsidR="00302482">
        <w:t>uring Transitions</w:t>
      </w:r>
    </w:p>
    <w:p w:rsidR="00840228" w:rsidRPr="0014122F" w:rsidRDefault="00B34187" w:rsidP="0014122F">
      <w:r>
        <w:rPr>
          <w:noProof/>
          <w:lang w:eastAsia="en-US"/>
        </w:rPr>
        <w:drawing>
          <wp:inline distT="0" distB="0" distL="0" distR="0">
            <wp:extent cx="4178808" cy="1316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 employees.jpg"/>
                    <pic:cNvPicPr/>
                  </pic:nvPicPr>
                  <pic:blipFill>
                    <a:blip r:embed="rId11">
                      <a:extLst>
                        <a:ext uri="{28A0092B-C50C-407E-A947-70E740481C1C}">
                          <a14:useLocalDpi xmlns:a14="http://schemas.microsoft.com/office/drawing/2010/main" val="0"/>
                        </a:ext>
                      </a:extLst>
                    </a:blip>
                    <a:stretch>
                      <a:fillRect/>
                    </a:stretch>
                  </pic:blipFill>
                  <pic:spPr>
                    <a:xfrm>
                      <a:off x="0" y="0"/>
                      <a:ext cx="4178808" cy="1316736"/>
                    </a:xfrm>
                    <a:prstGeom prst="rect">
                      <a:avLst/>
                    </a:prstGeom>
                  </pic:spPr>
                </pic:pic>
              </a:graphicData>
            </a:graphic>
          </wp:inline>
        </w:drawing>
      </w:r>
    </w:p>
    <w:p w:rsidR="005C7531" w:rsidRDefault="005C7531" w:rsidP="0050743E">
      <w:pPr>
        <w:pStyle w:val="Heading3"/>
      </w:pPr>
      <w:r>
        <w:t>A Time of Transition</w:t>
      </w:r>
    </w:p>
    <w:p w:rsidR="00F2761F" w:rsidRDefault="0087374C" w:rsidP="00747410">
      <w:r>
        <w:t xml:space="preserve">Over the course </w:t>
      </w:r>
      <w:r w:rsidR="00747410">
        <w:t>of the past 15 months, we have become deeply familiar</w:t>
      </w:r>
      <w:r w:rsidR="000D4C3C">
        <w:t xml:space="preserve"> </w:t>
      </w:r>
      <w:r w:rsidR="00747410">
        <w:t xml:space="preserve">with </w:t>
      </w:r>
      <w:r>
        <w:t>c</w:t>
      </w:r>
      <w:r w:rsidR="00F30327">
        <w:t>hange and transition</w:t>
      </w:r>
      <w:r>
        <w:t xml:space="preserve">.  </w:t>
      </w:r>
      <w:r w:rsidR="00333FA1">
        <w:t xml:space="preserve">Multiple crises </w:t>
      </w:r>
      <w:r w:rsidR="001B28B8">
        <w:t xml:space="preserve">– the </w:t>
      </w:r>
      <w:r w:rsidR="000D4C3C">
        <w:t>pandemic, civil unrest, wildfires, political strife</w:t>
      </w:r>
      <w:r w:rsidR="001B28B8">
        <w:t xml:space="preserve"> and violence in our communities </w:t>
      </w:r>
      <w:r w:rsidR="00333FA1">
        <w:t>–</w:t>
      </w:r>
      <w:r w:rsidR="000D4C3C">
        <w:t xml:space="preserve"> </w:t>
      </w:r>
      <w:r w:rsidR="00333FA1">
        <w:t xml:space="preserve">have </w:t>
      </w:r>
      <w:r>
        <w:t>disrupted</w:t>
      </w:r>
      <w:r w:rsidR="00F2761F">
        <w:t xml:space="preserve"> entire way</w:t>
      </w:r>
      <w:r>
        <w:t>s</w:t>
      </w:r>
      <w:r w:rsidR="00F2761F">
        <w:t xml:space="preserve"> of living, </w:t>
      </w:r>
      <w:r w:rsidR="000D4C3C">
        <w:t xml:space="preserve">loving, </w:t>
      </w:r>
      <w:r w:rsidR="001B28B8">
        <w:t xml:space="preserve">working and </w:t>
      </w:r>
      <w:r w:rsidR="00F2761F">
        <w:t>playi</w:t>
      </w:r>
      <w:r w:rsidR="00747410">
        <w:t>ng</w:t>
      </w:r>
      <w:r w:rsidR="00333FA1">
        <w:t>. All the</w:t>
      </w:r>
      <w:r w:rsidR="001B28B8">
        <w:t xml:space="preserve"> </w:t>
      </w:r>
      <w:r w:rsidR="00747410">
        <w:t>while</w:t>
      </w:r>
      <w:r w:rsidR="00333FA1">
        <w:t>,</w:t>
      </w:r>
      <w:r w:rsidR="00747410">
        <w:t xml:space="preserve"> our hearts and minds </w:t>
      </w:r>
      <w:r w:rsidR="00333FA1">
        <w:t>have been</w:t>
      </w:r>
      <w:r w:rsidR="00747410">
        <w:t xml:space="preserve"> host</w:t>
      </w:r>
      <w:r w:rsidR="00333FA1">
        <w:t>s</w:t>
      </w:r>
      <w:r w:rsidR="00747410">
        <w:t xml:space="preserve"> </w:t>
      </w:r>
      <w:r>
        <w:t xml:space="preserve">to a </w:t>
      </w:r>
      <w:r w:rsidR="00333FA1">
        <w:t xml:space="preserve">dizzying </w:t>
      </w:r>
      <w:r>
        <w:t>range of thoughts and emotions</w:t>
      </w:r>
      <w:r w:rsidR="00747410">
        <w:t>.</w:t>
      </w:r>
    </w:p>
    <w:p w:rsidR="001B28B8" w:rsidRDefault="00726479" w:rsidP="00F30327">
      <w:r>
        <w:t xml:space="preserve">And now, as </w:t>
      </w:r>
      <w:r w:rsidR="00F30327">
        <w:t>the rate</w:t>
      </w:r>
      <w:r w:rsidR="001B28B8">
        <w:t>s</w:t>
      </w:r>
      <w:r w:rsidR="00333FA1">
        <w:t xml:space="preserve"> of COVID infect</w:t>
      </w:r>
      <w:bookmarkStart w:id="8" w:name="_GoBack"/>
      <w:bookmarkEnd w:id="8"/>
      <w:r w:rsidR="00333FA1">
        <w:t>ions and COV</w:t>
      </w:r>
      <w:r w:rsidR="00F30327">
        <w:t>ID-related deaths</w:t>
      </w:r>
      <w:r w:rsidR="001B28B8">
        <w:t xml:space="preserve"> fall</w:t>
      </w:r>
      <w:r w:rsidR="00333FA1">
        <w:t xml:space="preserve"> and as pandemic-related restrictions are lifted, </w:t>
      </w:r>
      <w:r w:rsidR="00F30327">
        <w:t xml:space="preserve">we </w:t>
      </w:r>
      <w:r w:rsidR="00523676">
        <w:t xml:space="preserve">again </w:t>
      </w:r>
      <w:r w:rsidR="00F30327">
        <w:t xml:space="preserve">face </w:t>
      </w:r>
      <w:r w:rsidR="00523676">
        <w:t xml:space="preserve">heightened uncertainty, change and transition. </w:t>
      </w:r>
    </w:p>
    <w:p w:rsidR="00FE5C04" w:rsidRDefault="00FE5C04" w:rsidP="0050743E">
      <w:pPr>
        <w:pStyle w:val="Heading3"/>
      </w:pPr>
      <w:r>
        <w:t>Change vs. Transition</w:t>
      </w:r>
    </w:p>
    <w:p w:rsidR="00247B79" w:rsidRDefault="00FE5C04" w:rsidP="00FE5C04">
      <w:r>
        <w:t xml:space="preserve">The terms </w:t>
      </w:r>
      <w:r w:rsidRPr="00523676">
        <w:rPr>
          <w:i/>
        </w:rPr>
        <w:t>change</w:t>
      </w:r>
      <w:r>
        <w:t xml:space="preserve"> and </w:t>
      </w:r>
      <w:r w:rsidRPr="00523676">
        <w:rPr>
          <w:i/>
        </w:rPr>
        <w:t>transition</w:t>
      </w:r>
      <w:r>
        <w:t xml:space="preserve"> are often used interchangeably, but the</w:t>
      </w:r>
      <w:r w:rsidR="00523676">
        <w:t>y each</w:t>
      </w:r>
      <w:r>
        <w:t xml:space="preserve"> have distinct</w:t>
      </w:r>
      <w:r w:rsidR="00523676">
        <w:t xml:space="preserve"> meanings – meanings that can inform efforts to support the workforce. </w:t>
      </w:r>
      <w:r>
        <w:t xml:space="preserve">According to </w:t>
      </w:r>
      <w:hyperlink r:id="rId12" w:history="1">
        <w:r w:rsidRPr="00EA58A2">
          <w:rPr>
            <w:rStyle w:val="Hyperlink"/>
          </w:rPr>
          <w:t>William Bridges</w:t>
        </w:r>
      </w:hyperlink>
      <w:r>
        <w:t xml:space="preserve"> </w:t>
      </w:r>
      <w:r w:rsidR="00B86D36">
        <w:t>–</w:t>
      </w:r>
      <w:r>
        <w:t xml:space="preserve"> </w:t>
      </w:r>
      <w:r w:rsidR="00B86D36">
        <w:t>author, speaker and organizational consultant</w:t>
      </w:r>
      <w:r w:rsidR="00CA6F89">
        <w:t xml:space="preserve"> - </w:t>
      </w:r>
      <w:r w:rsidR="00B86D36">
        <w:t>change</w:t>
      </w:r>
      <w:r w:rsidR="00247B79">
        <w:t xml:space="preserve"> is </w:t>
      </w:r>
      <w:r w:rsidR="00247B79" w:rsidRPr="00523676">
        <w:rPr>
          <w:i/>
        </w:rPr>
        <w:t>what happens</w:t>
      </w:r>
      <w:r w:rsidR="00247B79">
        <w:t xml:space="preserve"> to individuals, while t</w:t>
      </w:r>
      <w:r w:rsidR="00B86D36">
        <w:t xml:space="preserve">ransition is </w:t>
      </w:r>
      <w:r w:rsidR="00B86D36" w:rsidRPr="00523676">
        <w:rPr>
          <w:i/>
        </w:rPr>
        <w:t>the process</w:t>
      </w:r>
      <w:r w:rsidR="00B86D36">
        <w:t xml:space="preserve"> individuals experience as change happens. </w:t>
      </w:r>
    </w:p>
    <w:p w:rsidR="00FE5C04" w:rsidRPr="00FE5C04" w:rsidRDefault="00B86D36" w:rsidP="00FE5C04">
      <w:r>
        <w:lastRenderedPageBreak/>
        <w:t xml:space="preserve">Like spring and summer </w:t>
      </w:r>
      <w:r w:rsidR="00247B79">
        <w:t xml:space="preserve">2020, this summer and fall </w:t>
      </w:r>
      <w:r w:rsidR="005C35D3">
        <w:t xml:space="preserve">promise </w:t>
      </w:r>
      <w:r>
        <w:t xml:space="preserve">change. Mask requirements, hybrid work environments, work locations and work </w:t>
      </w:r>
      <w:r w:rsidR="00F950C8">
        <w:t xml:space="preserve">relationships will – for many – undergo significant change. </w:t>
      </w:r>
      <w:r w:rsidR="00171671">
        <w:t xml:space="preserve">Each employee will have their own unique way of experiencing the coming changes. </w:t>
      </w:r>
    </w:p>
    <w:p w:rsidR="005C7531" w:rsidRDefault="005C7531" w:rsidP="0050743E">
      <w:pPr>
        <w:pStyle w:val="Heading3"/>
      </w:pPr>
      <w:r>
        <w:t>What to Expect</w:t>
      </w:r>
    </w:p>
    <w:p w:rsidR="00C41F44" w:rsidRDefault="00B86D36" w:rsidP="00C41F44">
      <w:r>
        <w:t>Every</w:t>
      </w:r>
      <w:r w:rsidR="00617A6B" w:rsidRPr="00617A6B">
        <w:t xml:space="preserve"> person responds to</w:t>
      </w:r>
      <w:r>
        <w:t xml:space="preserve"> and copes with </w:t>
      </w:r>
      <w:r w:rsidR="00617A6B" w:rsidRPr="00617A6B">
        <w:t xml:space="preserve">change in </w:t>
      </w:r>
      <w:r w:rsidR="00F950C8">
        <w:t>unique ways. Change can be a motivating and exciting force for some, while others might experience negative emotions.  Change can cause feelings of eustress – a form of stress that motivates</w:t>
      </w:r>
      <w:r w:rsidR="005C35D3">
        <w:t xml:space="preserve"> and challenges us.  Eustress can feel</w:t>
      </w:r>
      <w:r w:rsidR="00F950C8">
        <w:t xml:space="preserve"> exciting</w:t>
      </w:r>
      <w:r w:rsidR="005C35D3">
        <w:t xml:space="preserve">, as we face challenges that seem within our capabilities.  </w:t>
      </w:r>
      <w:r w:rsidR="00F950C8">
        <w:t>Change can also cause distress – a form of stress that can cause worry and</w:t>
      </w:r>
      <w:r w:rsidR="005C35D3">
        <w:t xml:space="preserve"> anxiety and </w:t>
      </w:r>
      <w:r w:rsidR="00F950C8">
        <w:t xml:space="preserve">feels </w:t>
      </w:r>
      <w:r w:rsidR="00FF5252">
        <w:t>unpleasant and unwelcome</w:t>
      </w:r>
      <w:r w:rsidR="00F27DEF">
        <w:t>.  Distress</w:t>
      </w:r>
      <w:r w:rsidR="00FF5252">
        <w:t xml:space="preserve"> can feel overwhelming and impede performance.  </w:t>
      </w:r>
      <w:r w:rsidR="00C41F44">
        <w:t xml:space="preserve">Given the coming changes, </w:t>
      </w:r>
      <w:r w:rsidR="005C35D3">
        <w:t xml:space="preserve">we all should expect to see </w:t>
      </w:r>
      <w:r w:rsidR="00C41F44">
        <w:t xml:space="preserve">a range of emotions and </w:t>
      </w:r>
      <w:r w:rsidR="005C35D3">
        <w:t>behaviors in the workplace</w:t>
      </w:r>
      <w:r w:rsidR="00C41F44">
        <w:t xml:space="preserve">, including:   </w:t>
      </w:r>
    </w:p>
    <w:p w:rsidR="00C41F44" w:rsidRDefault="00C41F44" w:rsidP="00B65569">
      <w:pPr>
        <w:sectPr w:rsidR="00C41F44">
          <w:footerReference w:type="default" r:id="rId13"/>
          <w:pgSz w:w="12240" w:h="15840"/>
          <w:pgMar w:top="792" w:right="720" w:bottom="720" w:left="720" w:header="720" w:footer="720" w:gutter="0"/>
          <w:cols w:space="720"/>
          <w:docGrid w:linePitch="360"/>
        </w:sectPr>
      </w:pPr>
    </w:p>
    <w:p w:rsidR="00C41F44" w:rsidRDefault="00C41F44" w:rsidP="00C41F44">
      <w:pPr>
        <w:pStyle w:val="ListParagraph"/>
        <w:numPr>
          <w:ilvl w:val="0"/>
          <w:numId w:val="26"/>
        </w:numPr>
      </w:pPr>
      <w:r>
        <w:t>disbelief</w:t>
      </w:r>
    </w:p>
    <w:p w:rsidR="00C41F44" w:rsidRDefault="00C41F44" w:rsidP="00C41F44">
      <w:pPr>
        <w:pStyle w:val="ListParagraph"/>
        <w:numPr>
          <w:ilvl w:val="0"/>
          <w:numId w:val="26"/>
        </w:numPr>
      </w:pPr>
      <w:r>
        <w:t>a</w:t>
      </w:r>
      <w:r w:rsidR="00B65569">
        <w:t>nger</w:t>
      </w:r>
    </w:p>
    <w:p w:rsidR="00C41F44" w:rsidRDefault="00C41F44" w:rsidP="00C41F44">
      <w:pPr>
        <w:pStyle w:val="ListParagraph"/>
        <w:numPr>
          <w:ilvl w:val="0"/>
          <w:numId w:val="26"/>
        </w:numPr>
      </w:pPr>
      <w:r>
        <w:t>s</w:t>
      </w:r>
      <w:r w:rsidR="00B65569">
        <w:t>adness</w:t>
      </w:r>
    </w:p>
    <w:p w:rsidR="00C41F44" w:rsidRDefault="00C41F44" w:rsidP="00C41F44">
      <w:pPr>
        <w:pStyle w:val="ListParagraph"/>
        <w:numPr>
          <w:ilvl w:val="0"/>
          <w:numId w:val="26"/>
        </w:numPr>
      </w:pPr>
      <w:r>
        <w:t xml:space="preserve">worry and </w:t>
      </w:r>
      <w:r w:rsidR="00B65569">
        <w:t>anxiety</w:t>
      </w:r>
    </w:p>
    <w:p w:rsidR="00C41F44" w:rsidRDefault="00C41F44" w:rsidP="00C41F44">
      <w:pPr>
        <w:pStyle w:val="ListParagraph"/>
        <w:numPr>
          <w:ilvl w:val="0"/>
          <w:numId w:val="26"/>
        </w:numPr>
      </w:pPr>
      <w:r>
        <w:t>a</w:t>
      </w:r>
      <w:r w:rsidR="00B65569">
        <w:t>voidance</w:t>
      </w:r>
    </w:p>
    <w:p w:rsidR="00F27DEF" w:rsidRDefault="00F27DEF" w:rsidP="00C41F44">
      <w:pPr>
        <w:pStyle w:val="ListParagraph"/>
        <w:numPr>
          <w:ilvl w:val="0"/>
          <w:numId w:val="26"/>
        </w:numPr>
      </w:pPr>
      <w:r>
        <w:t>excitement</w:t>
      </w:r>
    </w:p>
    <w:p w:rsidR="00C41F44" w:rsidRDefault="00B65569" w:rsidP="00C41F44">
      <w:pPr>
        <w:pStyle w:val="ListParagraph"/>
        <w:numPr>
          <w:ilvl w:val="0"/>
          <w:numId w:val="26"/>
        </w:numPr>
      </w:pPr>
      <w:r>
        <w:t>a</w:t>
      </w:r>
      <w:r w:rsidR="005C7531">
        <w:t>nticipation</w:t>
      </w:r>
      <w:r>
        <w:t xml:space="preserve"> </w:t>
      </w:r>
    </w:p>
    <w:p w:rsidR="00C41F44" w:rsidRDefault="00C41F44" w:rsidP="00C41F44">
      <w:pPr>
        <w:pStyle w:val="ListParagraph"/>
        <w:numPr>
          <w:ilvl w:val="0"/>
          <w:numId w:val="26"/>
        </w:numPr>
      </w:pPr>
      <w:r>
        <w:t>impatience</w:t>
      </w:r>
    </w:p>
    <w:p w:rsidR="00C41F44" w:rsidRDefault="00C41F44" w:rsidP="00B65569">
      <w:pPr>
        <w:sectPr w:rsidR="00C41F44" w:rsidSect="00C41F44">
          <w:type w:val="continuous"/>
          <w:pgSz w:w="12240" w:h="15840"/>
          <w:pgMar w:top="792" w:right="720" w:bottom="720" w:left="720" w:header="720" w:footer="720" w:gutter="0"/>
          <w:cols w:num="2" w:space="720"/>
          <w:docGrid w:linePitch="360"/>
        </w:sectPr>
      </w:pPr>
    </w:p>
    <w:p w:rsidR="0050743E" w:rsidRDefault="00F27DEF" w:rsidP="00B65569">
      <w:r>
        <w:t>Employee</w:t>
      </w:r>
      <w:r w:rsidR="00247B79">
        <w:t>s</w:t>
      </w:r>
      <w:r>
        <w:t xml:space="preserve"> will </w:t>
      </w:r>
      <w:r w:rsidR="00247B79">
        <w:t>also exhibit of range of behaviors.  Some might become more vocal and demanding, while other</w:t>
      </w:r>
      <w:r w:rsidR="005C35D3">
        <w:t>s might be quieter and conflict-</w:t>
      </w:r>
      <w:r w:rsidR="00247B79">
        <w:t xml:space="preserve">avoidant.  A few employees might more readily and openly engage in confrontations and conflict. </w:t>
      </w:r>
      <w:r w:rsidR="00B65569">
        <w:t xml:space="preserve"> </w:t>
      </w:r>
      <w:r w:rsidR="00CA6F89">
        <w:t>Expect a temporary decline in productivity for some and an increase</w:t>
      </w:r>
      <w:r w:rsidR="00B65569">
        <w:t xml:space="preserve"> </w:t>
      </w:r>
      <w:r w:rsidR="00CA6F89">
        <w:t xml:space="preserve">errors for others. </w:t>
      </w:r>
    </w:p>
    <w:p w:rsidR="0050743E" w:rsidRDefault="0050743E" w:rsidP="00C81776">
      <w:pPr>
        <w:pStyle w:val="Heading3"/>
      </w:pPr>
      <w:r>
        <w:t xml:space="preserve">What </w:t>
      </w:r>
      <w:r w:rsidR="00C81776">
        <w:t>You Can Do</w:t>
      </w:r>
    </w:p>
    <w:p w:rsidR="0050743E" w:rsidRDefault="0050743E" w:rsidP="0050743E">
      <w:pPr>
        <w:pStyle w:val="ListParagraph"/>
        <w:numPr>
          <w:ilvl w:val="0"/>
          <w:numId w:val="22"/>
        </w:numPr>
      </w:pPr>
      <w:r w:rsidRPr="00A6188C">
        <w:rPr>
          <w:b/>
        </w:rPr>
        <w:t>Model positivity</w:t>
      </w:r>
      <w:r>
        <w:t xml:space="preserve"> </w:t>
      </w:r>
      <w:r w:rsidR="00036BAC" w:rsidRPr="00036BAC">
        <w:rPr>
          <w:b/>
        </w:rPr>
        <w:t>and confidence</w:t>
      </w:r>
      <w:r w:rsidR="00036BAC">
        <w:rPr>
          <w:b/>
        </w:rPr>
        <w:t xml:space="preserve">: </w:t>
      </w:r>
      <w:r w:rsidR="00036BAC">
        <w:t>Positivity</w:t>
      </w:r>
      <w:r w:rsidR="00023AA6">
        <w:t xml:space="preserve"> and confidence</w:t>
      </w:r>
      <w:r w:rsidR="00036BAC">
        <w:t xml:space="preserve"> can be</w:t>
      </w:r>
      <w:r w:rsidR="00023AA6">
        <w:t xml:space="preserve"> inspiring and contagious. Negativity and doubt can impede problem-solving, while also instilling fear.</w:t>
      </w:r>
    </w:p>
    <w:p w:rsidR="0050743E" w:rsidRDefault="0050743E" w:rsidP="0050743E">
      <w:pPr>
        <w:pStyle w:val="ListParagraph"/>
        <w:numPr>
          <w:ilvl w:val="0"/>
          <w:numId w:val="22"/>
        </w:numPr>
      </w:pPr>
      <w:r w:rsidRPr="00A6188C">
        <w:rPr>
          <w:b/>
        </w:rPr>
        <w:t>Communicate</w:t>
      </w:r>
      <w:r w:rsidR="00023AA6">
        <w:rPr>
          <w:b/>
        </w:rPr>
        <w:t xml:space="preserve">: </w:t>
      </w:r>
      <w:r w:rsidR="00023AA6">
        <w:t xml:space="preserve">Focus on values, mission and goals. Identify and review expectations. Talk about what is and isn’t working. Allow for questions and feedback. </w:t>
      </w:r>
    </w:p>
    <w:p w:rsidR="0050743E" w:rsidRPr="00A6188C" w:rsidRDefault="00A6188C" w:rsidP="0050743E">
      <w:pPr>
        <w:pStyle w:val="ListParagraph"/>
        <w:numPr>
          <w:ilvl w:val="0"/>
          <w:numId w:val="22"/>
        </w:numPr>
        <w:rPr>
          <w:b/>
        </w:rPr>
      </w:pPr>
      <w:r w:rsidRPr="00A6188C">
        <w:rPr>
          <w:b/>
        </w:rPr>
        <w:t>N</w:t>
      </w:r>
      <w:r w:rsidR="0050743E" w:rsidRPr="00A6188C">
        <w:rPr>
          <w:b/>
        </w:rPr>
        <w:t>ormalize</w:t>
      </w:r>
      <w:r w:rsidR="00023AA6">
        <w:rPr>
          <w:b/>
        </w:rPr>
        <w:t>:</w:t>
      </w:r>
      <w:r w:rsidR="00222E76">
        <w:rPr>
          <w:b/>
        </w:rPr>
        <w:t xml:space="preserve"> </w:t>
      </w:r>
      <w:r w:rsidR="00222E76">
        <w:t xml:space="preserve">Help employees understand that their thoughts and feelings are reasonable and to be expected, given the many crises, changes and transitions they have </w:t>
      </w:r>
      <w:r w:rsidR="005C35D3">
        <w:t>faced over the past year</w:t>
      </w:r>
      <w:r w:rsidR="00222E76">
        <w:t xml:space="preserve">. </w:t>
      </w:r>
    </w:p>
    <w:p w:rsidR="0050743E" w:rsidRPr="00A6188C" w:rsidRDefault="0068466A" w:rsidP="0050743E">
      <w:pPr>
        <w:pStyle w:val="ListParagraph"/>
        <w:numPr>
          <w:ilvl w:val="0"/>
          <w:numId w:val="22"/>
        </w:numPr>
        <w:rPr>
          <w:b/>
        </w:rPr>
      </w:pPr>
      <w:r>
        <w:rPr>
          <w:b/>
        </w:rPr>
        <w:t>Practice compassion and empathy</w:t>
      </w:r>
      <w:r w:rsidR="00222E76">
        <w:rPr>
          <w:b/>
        </w:rPr>
        <w:t xml:space="preserve">: </w:t>
      </w:r>
      <w:r w:rsidR="00222E76">
        <w:t xml:space="preserve">Show your employees you care for them and that you understand, feel and share in their emotional experience. </w:t>
      </w:r>
    </w:p>
    <w:p w:rsidR="00C81776" w:rsidRPr="00A6188C" w:rsidRDefault="0068466A" w:rsidP="0050743E">
      <w:pPr>
        <w:pStyle w:val="ListParagraph"/>
        <w:numPr>
          <w:ilvl w:val="0"/>
          <w:numId w:val="22"/>
        </w:numPr>
        <w:rPr>
          <w:b/>
        </w:rPr>
      </w:pPr>
      <w:r>
        <w:rPr>
          <w:b/>
        </w:rPr>
        <w:t>Offer</w:t>
      </w:r>
      <w:r w:rsidR="000B5D46">
        <w:rPr>
          <w:b/>
        </w:rPr>
        <w:t xml:space="preserve">, </w:t>
      </w:r>
      <w:r>
        <w:rPr>
          <w:b/>
        </w:rPr>
        <w:t xml:space="preserve">provide </w:t>
      </w:r>
      <w:r w:rsidR="000B5D46">
        <w:rPr>
          <w:b/>
        </w:rPr>
        <w:t xml:space="preserve">and obtain </w:t>
      </w:r>
      <w:r>
        <w:rPr>
          <w:b/>
        </w:rPr>
        <w:t>s</w:t>
      </w:r>
      <w:r w:rsidR="00C81776" w:rsidRPr="00A6188C">
        <w:rPr>
          <w:b/>
        </w:rPr>
        <w:t>upport</w:t>
      </w:r>
      <w:r w:rsidR="00222E76">
        <w:rPr>
          <w:b/>
        </w:rPr>
        <w:t xml:space="preserve">: </w:t>
      </w:r>
      <w:r w:rsidR="000B5D46">
        <w:t xml:space="preserve">Let us help you and </w:t>
      </w:r>
      <w:r w:rsidR="00222E76">
        <w:t xml:space="preserve">your employees get </w:t>
      </w:r>
      <w:r w:rsidR="009976FE">
        <w:t xml:space="preserve">connected to </w:t>
      </w:r>
      <w:r w:rsidR="000B5D46">
        <w:t xml:space="preserve">helpful and supportive resources. </w:t>
      </w:r>
      <w:hyperlink r:id="rId14" w:history="1">
        <w:r w:rsidR="009976FE" w:rsidRPr="0017460C">
          <w:rPr>
            <w:rStyle w:val="Hyperlink"/>
          </w:rPr>
          <w:t>The Washington State EAP</w:t>
        </w:r>
      </w:hyperlink>
      <w:r w:rsidR="009976FE">
        <w:t xml:space="preserve"> is a great place to start. </w:t>
      </w:r>
    </w:p>
    <w:p w:rsidR="0050743E" w:rsidRPr="008825FE" w:rsidRDefault="0017460C" w:rsidP="0050743E">
      <w:pPr>
        <w:pStyle w:val="ListParagraph"/>
        <w:numPr>
          <w:ilvl w:val="0"/>
          <w:numId w:val="22"/>
        </w:numPr>
        <w:rPr>
          <w:b/>
        </w:rPr>
      </w:pPr>
      <w:r>
        <w:rPr>
          <w:b/>
        </w:rPr>
        <w:t>Attend a</w:t>
      </w:r>
      <w:r w:rsidR="002E1A41">
        <w:rPr>
          <w:b/>
        </w:rPr>
        <w:t xml:space="preserve"> WA State EAP</w:t>
      </w:r>
      <w:r>
        <w:rPr>
          <w:b/>
        </w:rPr>
        <w:t xml:space="preserve"> </w:t>
      </w:r>
      <w:r w:rsidR="002E1A41">
        <w:rPr>
          <w:b/>
        </w:rPr>
        <w:t xml:space="preserve">live </w:t>
      </w:r>
      <w:r>
        <w:rPr>
          <w:b/>
        </w:rPr>
        <w:t xml:space="preserve">webinar: </w:t>
      </w:r>
      <w:r w:rsidR="002E1A41">
        <w:t xml:space="preserve">See below for EAP’s latest </w:t>
      </w:r>
      <w:hyperlink r:id="rId15" w:history="1">
        <w:r w:rsidR="002E1A41" w:rsidRPr="002E1A41">
          <w:rPr>
            <w:rStyle w:val="Hyperlink"/>
          </w:rPr>
          <w:t>live webinar</w:t>
        </w:r>
      </w:hyperlink>
      <w:r w:rsidR="002E1A41">
        <w:t xml:space="preserve"> offerings.</w:t>
      </w:r>
    </w:p>
    <w:p w:rsidR="008825FE" w:rsidRPr="00A6188C" w:rsidRDefault="008825FE" w:rsidP="008825FE">
      <w:pPr>
        <w:pStyle w:val="ListParagraph"/>
        <w:numPr>
          <w:ilvl w:val="0"/>
          <w:numId w:val="22"/>
        </w:numPr>
        <w:rPr>
          <w:b/>
        </w:rPr>
      </w:pPr>
      <w:r>
        <w:rPr>
          <w:b/>
        </w:rPr>
        <w:t>Attend a</w:t>
      </w:r>
      <w:r w:rsidR="00847F0C">
        <w:rPr>
          <w:b/>
        </w:rPr>
        <w:t xml:space="preserve">n instructor-led workshop in </w:t>
      </w:r>
      <w:r w:rsidR="00CA6F89">
        <w:rPr>
          <w:b/>
        </w:rPr>
        <w:t>fall</w:t>
      </w:r>
      <w:r w:rsidR="00847F0C">
        <w:rPr>
          <w:b/>
        </w:rPr>
        <w:t xml:space="preserve"> 2021: </w:t>
      </w:r>
      <w:r>
        <w:t xml:space="preserve">This fall, </w:t>
      </w:r>
      <w:hyperlink r:id="rId16" w:history="1">
        <w:r w:rsidR="00847F0C">
          <w:rPr>
            <w:rStyle w:val="Hyperlink"/>
          </w:rPr>
          <w:t>Workforce Learning and Performance (WLP)</w:t>
        </w:r>
      </w:hyperlink>
      <w:r>
        <w:t xml:space="preserve"> plans to offer </w:t>
      </w:r>
      <w:r w:rsidRPr="008825FE">
        <w:rPr>
          <w:i/>
        </w:rPr>
        <w:t>Leading Remote and Hybrid Teams</w:t>
      </w:r>
      <w:r>
        <w:t xml:space="preserve">. </w:t>
      </w:r>
      <w:r w:rsidRPr="008825FE">
        <w:t>In this virtual instructor-led workshop, supervisors will learn best practices for leading remote and hybrid teams as well as brainstorm new ideas with their peers.</w:t>
      </w:r>
      <w:r>
        <w:t xml:space="preserve"> Workshop information and registration information will be coming soon. </w:t>
      </w:r>
    </w:p>
    <w:p w:rsidR="000B5D46" w:rsidRDefault="000B5D46">
      <w:pPr>
        <w:spacing w:after="200" w:line="300" w:lineRule="auto"/>
        <w:rPr>
          <w:rFonts w:ascii="Century Gothic" w:eastAsiaTheme="majorEastAsia" w:hAnsi="Century Gothic" w:cstheme="majorBidi"/>
          <w:b/>
          <w:color w:val="F79646" w:themeColor="accent6"/>
          <w:sz w:val="28"/>
        </w:rPr>
      </w:pPr>
      <w:bookmarkStart w:id="9" w:name="_Mental_Health_in"/>
      <w:bookmarkStart w:id="10" w:name="_Juneteenth_2021"/>
      <w:bookmarkStart w:id="11" w:name="_LGBTQ_Mental_Health"/>
      <w:bookmarkStart w:id="12" w:name="_Supporting_the_Employee"/>
      <w:bookmarkStart w:id="13" w:name="_Upcoming_EAP_Live"/>
      <w:bookmarkEnd w:id="9"/>
      <w:bookmarkEnd w:id="10"/>
      <w:bookmarkEnd w:id="11"/>
      <w:bookmarkEnd w:id="12"/>
      <w:bookmarkEnd w:id="13"/>
      <w:r>
        <w:br w:type="page"/>
      </w:r>
    </w:p>
    <w:p w:rsidR="00BE7761" w:rsidRDefault="00A72DFF" w:rsidP="00BE7761">
      <w:pPr>
        <w:pStyle w:val="Heading2"/>
      </w:pPr>
      <w:r>
        <w:lastRenderedPageBreak/>
        <w:t>Upcoming EAP Live Webinars</w:t>
      </w:r>
    </w:p>
    <w:p w:rsidR="002E1A41" w:rsidRPr="002E1A41" w:rsidRDefault="002E1A41" w:rsidP="002E1A41">
      <w:r>
        <w:t xml:space="preserve">To register for EAP Live Webinars, visit EAP’s </w:t>
      </w:r>
      <w:hyperlink r:id="rId17" w:history="1">
        <w:r w:rsidRPr="002E1A41">
          <w:rPr>
            <w:rStyle w:val="Hyperlink"/>
          </w:rPr>
          <w:t>Webinars</w:t>
        </w:r>
      </w:hyperlink>
      <w:r>
        <w:t xml:space="preserve">. </w:t>
      </w:r>
      <w:r w:rsidR="00CA6F89">
        <w:t>Registration for the below webinars should open by Thursday, July 1, 2021.</w:t>
      </w:r>
    </w:p>
    <w:p w:rsidR="00A6188C" w:rsidRDefault="00A6188C" w:rsidP="00A6188C">
      <w:pPr>
        <w:pStyle w:val="Heading3"/>
      </w:pPr>
      <w:r>
        <w:t>Transitioning into the New Work Life: Creating Psychological Safety in Work Teams</w:t>
      </w:r>
    </w:p>
    <w:p w:rsidR="00A6188C" w:rsidRPr="002E1A41" w:rsidRDefault="00A6188C" w:rsidP="00A6188C">
      <w:pPr>
        <w:rPr>
          <w:i/>
        </w:rPr>
      </w:pPr>
      <w:r w:rsidRPr="002E1A41">
        <w:rPr>
          <w:i/>
        </w:rPr>
        <w:t>This webinar is intended for leaders (supervisors, managers, HR, and anyone else in a leadership role)</w:t>
      </w:r>
    </w:p>
    <w:p w:rsidR="00A6188C" w:rsidRDefault="001F0352" w:rsidP="00A6188C">
      <w:r>
        <w:rPr>
          <w:noProof/>
          <w:lang w:eastAsia="en-US"/>
        </w:rPr>
        <w:drawing>
          <wp:anchor distT="0" distB="0" distL="114300" distR="114300" simplePos="0" relativeHeight="251662336" behindDoc="0" locked="0" layoutInCell="1" allowOverlap="1">
            <wp:simplePos x="0" y="0"/>
            <wp:positionH relativeFrom="column">
              <wp:posOffset>0</wp:posOffset>
            </wp:positionH>
            <wp:positionV relativeFrom="page">
              <wp:posOffset>1828800</wp:posOffset>
            </wp:positionV>
            <wp:extent cx="2167128" cy="2167128"/>
            <wp:effectExtent l="0" t="0" r="508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ployee team.jpg"/>
                    <pic:cNvPicPr/>
                  </pic:nvPicPr>
                  <pic:blipFill>
                    <a:blip r:embed="rId18">
                      <a:extLst>
                        <a:ext uri="{28A0092B-C50C-407E-A947-70E740481C1C}">
                          <a14:useLocalDpi xmlns:a14="http://schemas.microsoft.com/office/drawing/2010/main" val="0"/>
                        </a:ext>
                      </a:extLst>
                    </a:blip>
                    <a:stretch>
                      <a:fillRect/>
                    </a:stretch>
                  </pic:blipFill>
                  <pic:spPr>
                    <a:xfrm>
                      <a:off x="0" y="0"/>
                      <a:ext cx="2167128" cy="2167128"/>
                    </a:xfrm>
                    <a:prstGeom prst="rect">
                      <a:avLst/>
                    </a:prstGeom>
                  </pic:spPr>
                </pic:pic>
              </a:graphicData>
            </a:graphic>
            <wp14:sizeRelH relativeFrom="margin">
              <wp14:pctWidth>0</wp14:pctWidth>
            </wp14:sizeRelH>
            <wp14:sizeRelV relativeFrom="margin">
              <wp14:pctHeight>0</wp14:pctHeight>
            </wp14:sizeRelV>
          </wp:anchor>
        </w:drawing>
      </w:r>
      <w:r w:rsidR="00A6188C">
        <w:t xml:space="preserve">Many employees are experiencing stress, worry, and uncertainty as we transition into a work environment which has changed with the pandemic. As a leader, you may be wondering how to best support your workgroup and how to navigate the transition back to the workplace. </w:t>
      </w:r>
    </w:p>
    <w:p w:rsidR="00A6188C" w:rsidRDefault="00A6188C" w:rsidP="00A6188C">
      <w:r>
        <w:t xml:space="preserve">In this webinar you’ll learn about: </w:t>
      </w:r>
    </w:p>
    <w:p w:rsidR="00A6188C" w:rsidRDefault="00A6188C" w:rsidP="00A6188C">
      <w:pPr>
        <w:pStyle w:val="ListParagraph"/>
        <w:numPr>
          <w:ilvl w:val="0"/>
          <w:numId w:val="25"/>
        </w:numPr>
      </w:pPr>
      <w:r>
        <w:t xml:space="preserve">the importance of creating psychological safety as a leader, </w:t>
      </w:r>
    </w:p>
    <w:p w:rsidR="00A6188C" w:rsidRDefault="00A6188C" w:rsidP="00A6188C">
      <w:pPr>
        <w:pStyle w:val="ListParagraph"/>
        <w:numPr>
          <w:ilvl w:val="0"/>
          <w:numId w:val="25"/>
        </w:numPr>
      </w:pPr>
      <w:r>
        <w:t xml:space="preserve">multiple strategies to build psychological safety in your workgroup, and </w:t>
      </w:r>
    </w:p>
    <w:p w:rsidR="00A6188C" w:rsidRDefault="00A6188C" w:rsidP="00A6188C">
      <w:pPr>
        <w:pStyle w:val="ListParagraph"/>
        <w:numPr>
          <w:ilvl w:val="0"/>
          <w:numId w:val="25"/>
        </w:numPr>
      </w:pPr>
      <w:r>
        <w:t>the supports and resources that are available to both you and your employees.</w:t>
      </w:r>
    </w:p>
    <w:p w:rsidR="00A6188C" w:rsidRDefault="00A6188C" w:rsidP="00A6188C">
      <w:pPr>
        <w:pStyle w:val="Heading3"/>
      </w:pPr>
      <w:r>
        <w:t>Transitioning into the New Work Life: Strategies for Responding to Change</w:t>
      </w:r>
    </w:p>
    <w:p w:rsidR="00A6188C" w:rsidRDefault="00A6188C" w:rsidP="00A6188C">
      <w:r>
        <w:t xml:space="preserve">Over the past year plus, we’ve faced challenges we never could have imagined prior to March 2020. As our State continues to open up, you may find yourself experiencing uncertainty, stress, and a mixture of emotions. </w:t>
      </w:r>
    </w:p>
    <w:p w:rsidR="00A6188C" w:rsidRDefault="00A6188C" w:rsidP="00A6188C">
      <w:r>
        <w:t xml:space="preserve">In this webinar we’ll: </w:t>
      </w:r>
    </w:p>
    <w:p w:rsidR="00A6188C" w:rsidRDefault="00A6188C" w:rsidP="00A6188C">
      <w:pPr>
        <w:pStyle w:val="ListParagraph"/>
        <w:numPr>
          <w:ilvl w:val="0"/>
          <w:numId w:val="24"/>
        </w:numPr>
      </w:pPr>
      <w:r>
        <w:t xml:space="preserve">reflect on the past year, </w:t>
      </w:r>
    </w:p>
    <w:p w:rsidR="00A6188C" w:rsidRDefault="00A6188C" w:rsidP="00A6188C">
      <w:pPr>
        <w:pStyle w:val="ListParagraph"/>
        <w:numPr>
          <w:ilvl w:val="0"/>
          <w:numId w:val="24"/>
        </w:numPr>
      </w:pPr>
      <w:r>
        <w:t xml:space="preserve">identify possible stress responses, </w:t>
      </w:r>
    </w:p>
    <w:p w:rsidR="00A6188C" w:rsidRDefault="00A6188C" w:rsidP="00A6188C">
      <w:pPr>
        <w:pStyle w:val="ListParagraph"/>
        <w:numPr>
          <w:ilvl w:val="0"/>
          <w:numId w:val="24"/>
        </w:numPr>
      </w:pPr>
      <w:r>
        <w:t xml:space="preserve">talk about the natural psychological process we move through in response to change, </w:t>
      </w:r>
    </w:p>
    <w:p w:rsidR="00A6188C" w:rsidRDefault="00A6188C" w:rsidP="00A6188C">
      <w:pPr>
        <w:pStyle w:val="ListParagraph"/>
        <w:numPr>
          <w:ilvl w:val="0"/>
          <w:numId w:val="24"/>
        </w:numPr>
      </w:pPr>
      <w:r>
        <w:t xml:space="preserve">offer strategies to help you manage your way in this new work life, and </w:t>
      </w:r>
    </w:p>
    <w:p w:rsidR="00A6188C" w:rsidRPr="00A6188C" w:rsidRDefault="00A6188C" w:rsidP="00A6188C">
      <w:pPr>
        <w:pStyle w:val="ListParagraph"/>
        <w:numPr>
          <w:ilvl w:val="0"/>
          <w:numId w:val="24"/>
        </w:numPr>
      </w:pPr>
      <w:r>
        <w:t>provide information on resources and supports available to you.</w:t>
      </w:r>
    </w:p>
    <w:p w:rsidR="008D6916" w:rsidRDefault="00490979" w:rsidP="009D1E8C">
      <w:pPr>
        <w:pStyle w:val="Heading2"/>
      </w:pPr>
      <w:bookmarkStart w:id="14" w:name="_Articles"/>
      <w:bookmarkEnd w:id="14"/>
      <w:r>
        <w:t>Articles</w:t>
      </w:r>
    </w:p>
    <w:p w:rsidR="00526442" w:rsidRDefault="00B734F0" w:rsidP="00526442">
      <w:pPr>
        <w:pStyle w:val="ListParagraph"/>
        <w:numPr>
          <w:ilvl w:val="0"/>
          <w:numId w:val="23"/>
        </w:numPr>
      </w:pPr>
      <w:hyperlink r:id="rId19" w:history="1">
        <w:r w:rsidR="00526442" w:rsidRPr="00526442">
          <w:rPr>
            <w:rStyle w:val="Hyperlink"/>
          </w:rPr>
          <w:t>Coping with Work Transitions</w:t>
        </w:r>
      </w:hyperlink>
      <w:r w:rsidR="00526442">
        <w:t xml:space="preserve">, </w:t>
      </w:r>
      <w:r w:rsidR="00526442" w:rsidRPr="000B5D46">
        <w:t>Be Well</w:t>
      </w:r>
      <w:r w:rsidR="00526442">
        <w:t>, Stanford University</w:t>
      </w:r>
    </w:p>
    <w:p w:rsidR="00526442" w:rsidRDefault="00B734F0" w:rsidP="00526442">
      <w:pPr>
        <w:pStyle w:val="ListParagraph"/>
        <w:numPr>
          <w:ilvl w:val="0"/>
          <w:numId w:val="23"/>
        </w:numPr>
      </w:pPr>
      <w:hyperlink r:id="rId20" w:history="1">
        <w:r w:rsidR="00526442" w:rsidRPr="00A72DFF">
          <w:rPr>
            <w:rStyle w:val="Hyperlink"/>
          </w:rPr>
          <w:t>Managing Someone Whose Life Has Been Upended</w:t>
        </w:r>
      </w:hyperlink>
      <w:r w:rsidR="00A72DFF">
        <w:t xml:space="preserve">, </w:t>
      </w:r>
      <w:r w:rsidR="00A72DFF" w:rsidRPr="000B5D46">
        <w:t>Harvard Business Review</w:t>
      </w:r>
    </w:p>
    <w:p w:rsidR="00490979" w:rsidRDefault="00B734F0" w:rsidP="00526442">
      <w:pPr>
        <w:pStyle w:val="ListParagraph"/>
        <w:numPr>
          <w:ilvl w:val="0"/>
          <w:numId w:val="23"/>
        </w:numPr>
      </w:pPr>
      <w:hyperlink r:id="rId21" w:history="1">
        <w:r w:rsidR="00490979" w:rsidRPr="00490979">
          <w:rPr>
            <w:rStyle w:val="Hyperlink"/>
          </w:rPr>
          <w:t>Managing Fears of Re-entry</w:t>
        </w:r>
      </w:hyperlink>
      <w:r w:rsidR="00490979">
        <w:t xml:space="preserve">, </w:t>
      </w:r>
      <w:r w:rsidR="00490979" w:rsidRPr="000B5D46">
        <w:t>CNN Health</w:t>
      </w:r>
    </w:p>
    <w:p w:rsidR="00490979" w:rsidRDefault="00B734F0" w:rsidP="00526442">
      <w:pPr>
        <w:pStyle w:val="ListParagraph"/>
        <w:numPr>
          <w:ilvl w:val="0"/>
          <w:numId w:val="23"/>
        </w:numPr>
      </w:pPr>
      <w:hyperlink r:id="rId22" w:history="1">
        <w:r w:rsidR="00490979" w:rsidRPr="00490979">
          <w:rPr>
            <w:rStyle w:val="Hyperlink"/>
          </w:rPr>
          <w:t xml:space="preserve">How to </w:t>
        </w:r>
        <w:r w:rsidR="000B5D46">
          <w:rPr>
            <w:rStyle w:val="Hyperlink"/>
          </w:rPr>
          <w:t>Rally a Jittery Workforce Back at the Office</w:t>
        </w:r>
      </w:hyperlink>
      <w:r w:rsidR="000B5D46">
        <w:rPr>
          <w:rStyle w:val="Hyperlink"/>
        </w:rPr>
        <w:t>,</w:t>
      </w:r>
      <w:r w:rsidR="000B5D46">
        <w:rPr>
          <w:rStyle w:val="Hyperlink"/>
          <w:u w:val="none"/>
        </w:rPr>
        <w:t xml:space="preserve"> </w:t>
      </w:r>
      <w:r w:rsidR="000B5D46" w:rsidRPr="000B5D46">
        <w:t>The Wall Street Journal</w:t>
      </w:r>
    </w:p>
    <w:p w:rsidR="00AC56C2" w:rsidRDefault="00B734F0" w:rsidP="00526442">
      <w:pPr>
        <w:pStyle w:val="ListParagraph"/>
        <w:numPr>
          <w:ilvl w:val="0"/>
          <w:numId w:val="23"/>
        </w:numPr>
      </w:pPr>
      <w:hyperlink r:id="rId23" w:history="1">
        <w:r w:rsidR="00AC56C2" w:rsidRPr="00AC56C2">
          <w:rPr>
            <w:rStyle w:val="Hyperlink"/>
          </w:rPr>
          <w:t>How Positive Leadership Shapes Positive Organizational Behaviors</w:t>
        </w:r>
      </w:hyperlink>
      <w:r w:rsidR="000B5D46">
        <w:rPr>
          <w:rStyle w:val="Hyperlink"/>
        </w:rPr>
        <w:t>,</w:t>
      </w:r>
      <w:r w:rsidR="000B5D46">
        <w:rPr>
          <w:rStyle w:val="Hyperlink"/>
          <w:u w:val="none"/>
        </w:rPr>
        <w:t xml:space="preserve"> </w:t>
      </w:r>
      <w:r w:rsidR="000B5D46" w:rsidRPr="000B5D46">
        <w:t>Forbes</w:t>
      </w:r>
    </w:p>
    <w:p w:rsidR="00FF5252" w:rsidRDefault="00B734F0" w:rsidP="00526442">
      <w:pPr>
        <w:pStyle w:val="ListParagraph"/>
        <w:numPr>
          <w:ilvl w:val="0"/>
          <w:numId w:val="23"/>
        </w:numPr>
      </w:pPr>
      <w:hyperlink r:id="rId24" w:history="1">
        <w:r w:rsidR="00FF5252" w:rsidRPr="00FF5252">
          <w:rPr>
            <w:rStyle w:val="Hyperlink"/>
          </w:rPr>
          <w:t>Types of Stressors (Eustress vs. Distress)</w:t>
        </w:r>
      </w:hyperlink>
      <w:r w:rsidR="000B5D46">
        <w:t>,</w:t>
      </w:r>
      <w:r w:rsidR="00FF5252">
        <w:t xml:space="preserve"> </w:t>
      </w:r>
      <w:r w:rsidR="00FF5252" w:rsidRPr="000B5D46">
        <w:t>MentalHelp.net</w:t>
      </w:r>
    </w:p>
    <w:p w:rsidR="00CA6F89" w:rsidRDefault="00CA6F89" w:rsidP="00CA6F89">
      <w:pPr>
        <w:pStyle w:val="Heading2"/>
      </w:pPr>
      <w:bookmarkStart w:id="15" w:name="_Resources"/>
      <w:bookmarkEnd w:id="15"/>
      <w:r>
        <w:t>Resources</w:t>
      </w:r>
    </w:p>
    <w:p w:rsidR="00CA6F89" w:rsidRDefault="00B734F0" w:rsidP="00CA6F89">
      <w:pPr>
        <w:pStyle w:val="ListParagraph"/>
        <w:numPr>
          <w:ilvl w:val="0"/>
          <w:numId w:val="27"/>
        </w:numPr>
      </w:pPr>
      <w:hyperlink r:id="rId25" w:history="1">
        <w:r w:rsidR="00CA6F89" w:rsidRPr="00CA6F89">
          <w:rPr>
            <w:rStyle w:val="Hyperlink"/>
          </w:rPr>
          <w:t>Healthy Washington – Roadmap to Recovery Guide</w:t>
        </w:r>
      </w:hyperlink>
      <w:r w:rsidR="00BB5C0F">
        <w:t>, OFM</w:t>
      </w:r>
    </w:p>
    <w:p w:rsidR="00BB5C0F" w:rsidRPr="00CA6F89" w:rsidRDefault="00B734F0" w:rsidP="00CA6F89">
      <w:pPr>
        <w:pStyle w:val="ListParagraph"/>
        <w:numPr>
          <w:ilvl w:val="0"/>
          <w:numId w:val="27"/>
        </w:numPr>
      </w:pPr>
      <w:hyperlink r:id="rId26" w:history="1">
        <w:r w:rsidR="00BB5C0F" w:rsidRPr="00BB5C0F">
          <w:rPr>
            <w:rStyle w:val="Hyperlink"/>
          </w:rPr>
          <w:t>COVID-19 Return to Work Playbook</w:t>
        </w:r>
      </w:hyperlink>
      <w:r w:rsidR="00BB5C0F">
        <w:t>, Kaiser Permanente</w:t>
      </w:r>
    </w:p>
    <w:sectPr w:rsidR="00BB5C0F" w:rsidRPr="00CA6F89" w:rsidSect="00C41F44">
      <w:type w:val="continuous"/>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38D" w:rsidRDefault="00AE238D">
      <w:pPr>
        <w:spacing w:after="0" w:line="240" w:lineRule="auto"/>
      </w:pPr>
      <w:r>
        <w:separator/>
      </w:r>
    </w:p>
  </w:endnote>
  <w:endnote w:type="continuationSeparator" w:id="0">
    <w:p w:rsidR="00AE238D" w:rsidRDefault="00AE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E8" w:rsidRPr="0075471C" w:rsidRDefault="008634E8" w:rsidP="008634E8">
    <w:pPr>
      <w:pStyle w:val="Footer"/>
      <w:jc w:val="center"/>
      <w:rPr>
        <w:sz w:val="28"/>
        <w:szCs w:val="28"/>
      </w:rPr>
    </w:pPr>
  </w:p>
  <w:p w:rsidR="00F12BFF" w:rsidRPr="00F950C8" w:rsidRDefault="00F12BFF" w:rsidP="008634E8">
    <w:pPr>
      <w:pStyle w:val="Footer"/>
      <w:jc w:val="center"/>
      <w:rPr>
        <w:szCs w:val="24"/>
      </w:rPr>
    </w:pPr>
    <w:r w:rsidRPr="00F950C8">
      <w:rPr>
        <w:szCs w:val="24"/>
      </w:rPr>
      <w:t>EAP Frontline Supervisors Newsletter</w:t>
    </w:r>
    <w:r w:rsidR="00F950C8">
      <w:rPr>
        <w:szCs w:val="24"/>
      </w:rPr>
      <w:t xml:space="preserve"> - </w:t>
    </w:r>
    <w:r w:rsidR="00F950C8" w:rsidRPr="00F950C8">
      <w:rPr>
        <w:szCs w:val="24"/>
      </w:rPr>
      <w:t>July/August 2021</w:t>
    </w:r>
  </w:p>
  <w:p w:rsidR="00F950C8" w:rsidRPr="00F950C8" w:rsidRDefault="00F950C8" w:rsidP="00F950C8">
    <w:pPr>
      <w:pStyle w:val="Footer"/>
      <w:jc w:val="center"/>
      <w:rPr>
        <w:szCs w:val="24"/>
      </w:rPr>
    </w:pPr>
    <w:r w:rsidRPr="00F950C8">
      <w:rPr>
        <w:szCs w:val="24"/>
      </w:rPr>
      <w:t>Washington State EAP | eap.wa.gov | (877) 313 – 4455</w:t>
    </w:r>
  </w:p>
  <w:p w:rsidR="00F950C8" w:rsidRPr="0075471C" w:rsidRDefault="00F950C8" w:rsidP="008634E8">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38D" w:rsidRDefault="00AE238D">
      <w:pPr>
        <w:spacing w:after="0" w:line="240" w:lineRule="auto"/>
      </w:pPr>
      <w:r>
        <w:separator/>
      </w:r>
    </w:p>
  </w:footnote>
  <w:footnote w:type="continuationSeparator" w:id="0">
    <w:p w:rsidR="00AE238D" w:rsidRDefault="00AE2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DC5"/>
    <w:multiLevelType w:val="hybridMultilevel"/>
    <w:tmpl w:val="77AA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F29C8"/>
    <w:multiLevelType w:val="hybridMultilevel"/>
    <w:tmpl w:val="34F0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842EA"/>
    <w:multiLevelType w:val="hybridMultilevel"/>
    <w:tmpl w:val="ABC2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B0F22"/>
    <w:multiLevelType w:val="hybridMultilevel"/>
    <w:tmpl w:val="978C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F678F"/>
    <w:multiLevelType w:val="hybridMultilevel"/>
    <w:tmpl w:val="5856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D6DC3"/>
    <w:multiLevelType w:val="hybridMultilevel"/>
    <w:tmpl w:val="46C0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0418C"/>
    <w:multiLevelType w:val="hybridMultilevel"/>
    <w:tmpl w:val="93F6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53DB5"/>
    <w:multiLevelType w:val="hybridMultilevel"/>
    <w:tmpl w:val="140E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560DF"/>
    <w:multiLevelType w:val="hybridMultilevel"/>
    <w:tmpl w:val="2F7AC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F0A4A"/>
    <w:multiLevelType w:val="hybridMultilevel"/>
    <w:tmpl w:val="BF34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35712"/>
    <w:multiLevelType w:val="hybridMultilevel"/>
    <w:tmpl w:val="4CB8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F1393"/>
    <w:multiLevelType w:val="hybridMultilevel"/>
    <w:tmpl w:val="5E2A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A7216"/>
    <w:multiLevelType w:val="hybridMultilevel"/>
    <w:tmpl w:val="ED26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349E3"/>
    <w:multiLevelType w:val="hybridMultilevel"/>
    <w:tmpl w:val="A51A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F0D33"/>
    <w:multiLevelType w:val="hybridMultilevel"/>
    <w:tmpl w:val="41CC9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70ED9"/>
    <w:multiLevelType w:val="hybridMultilevel"/>
    <w:tmpl w:val="7C1CE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158A7"/>
    <w:multiLevelType w:val="hybridMultilevel"/>
    <w:tmpl w:val="79DEBF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2160694"/>
    <w:multiLevelType w:val="hybridMultilevel"/>
    <w:tmpl w:val="1B9E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E1B75"/>
    <w:multiLevelType w:val="hybridMultilevel"/>
    <w:tmpl w:val="8F38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95920"/>
    <w:multiLevelType w:val="hybridMultilevel"/>
    <w:tmpl w:val="B546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964E1E"/>
    <w:multiLevelType w:val="hybridMultilevel"/>
    <w:tmpl w:val="353E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13038"/>
    <w:multiLevelType w:val="hybridMultilevel"/>
    <w:tmpl w:val="2C6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238D2"/>
    <w:multiLevelType w:val="hybridMultilevel"/>
    <w:tmpl w:val="D08C2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3566C"/>
    <w:multiLevelType w:val="hybridMultilevel"/>
    <w:tmpl w:val="7218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87684"/>
    <w:multiLevelType w:val="hybridMultilevel"/>
    <w:tmpl w:val="D086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102AC"/>
    <w:multiLevelType w:val="hybridMultilevel"/>
    <w:tmpl w:val="75E4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C348B"/>
    <w:multiLevelType w:val="hybridMultilevel"/>
    <w:tmpl w:val="E61A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3"/>
  </w:num>
  <w:num w:numId="4">
    <w:abstractNumId w:val="17"/>
  </w:num>
  <w:num w:numId="5">
    <w:abstractNumId w:val="5"/>
  </w:num>
  <w:num w:numId="6">
    <w:abstractNumId w:val="15"/>
  </w:num>
  <w:num w:numId="7">
    <w:abstractNumId w:val="11"/>
  </w:num>
  <w:num w:numId="8">
    <w:abstractNumId w:val="23"/>
  </w:num>
  <w:num w:numId="9">
    <w:abstractNumId w:val="18"/>
  </w:num>
  <w:num w:numId="10">
    <w:abstractNumId w:val="9"/>
  </w:num>
  <w:num w:numId="11">
    <w:abstractNumId w:val="14"/>
  </w:num>
  <w:num w:numId="12">
    <w:abstractNumId w:val="8"/>
  </w:num>
  <w:num w:numId="13">
    <w:abstractNumId w:val="24"/>
  </w:num>
  <w:num w:numId="14">
    <w:abstractNumId w:val="20"/>
  </w:num>
  <w:num w:numId="15">
    <w:abstractNumId w:val="0"/>
  </w:num>
  <w:num w:numId="16">
    <w:abstractNumId w:val="1"/>
  </w:num>
  <w:num w:numId="17">
    <w:abstractNumId w:val="22"/>
  </w:num>
  <w:num w:numId="18">
    <w:abstractNumId w:val="19"/>
  </w:num>
  <w:num w:numId="19">
    <w:abstractNumId w:val="6"/>
  </w:num>
  <w:num w:numId="20">
    <w:abstractNumId w:val="10"/>
  </w:num>
  <w:num w:numId="21">
    <w:abstractNumId w:val="13"/>
  </w:num>
  <w:num w:numId="22">
    <w:abstractNumId w:val="21"/>
  </w:num>
  <w:num w:numId="23">
    <w:abstractNumId w:val="2"/>
  </w:num>
  <w:num w:numId="24">
    <w:abstractNumId w:val="4"/>
  </w:num>
  <w:num w:numId="25">
    <w:abstractNumId w:val="7"/>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8D"/>
    <w:rsid w:val="0000349C"/>
    <w:rsid w:val="000212A6"/>
    <w:rsid w:val="00023AA6"/>
    <w:rsid w:val="0002710F"/>
    <w:rsid w:val="00036BAC"/>
    <w:rsid w:val="000511E6"/>
    <w:rsid w:val="0006182B"/>
    <w:rsid w:val="000B114F"/>
    <w:rsid w:val="000B52FA"/>
    <w:rsid w:val="000B5D46"/>
    <w:rsid w:val="000C0F3A"/>
    <w:rsid w:val="000D4C3C"/>
    <w:rsid w:val="001028AC"/>
    <w:rsid w:val="00111FD0"/>
    <w:rsid w:val="0011564A"/>
    <w:rsid w:val="00121713"/>
    <w:rsid w:val="001235C1"/>
    <w:rsid w:val="00127031"/>
    <w:rsid w:val="00127766"/>
    <w:rsid w:val="0014122F"/>
    <w:rsid w:val="00150BC7"/>
    <w:rsid w:val="00152E6F"/>
    <w:rsid w:val="00171671"/>
    <w:rsid w:val="0017460C"/>
    <w:rsid w:val="00190F90"/>
    <w:rsid w:val="001B28B8"/>
    <w:rsid w:val="001C2737"/>
    <w:rsid w:val="001F0352"/>
    <w:rsid w:val="001F5B89"/>
    <w:rsid w:val="00210C19"/>
    <w:rsid w:val="00222E76"/>
    <w:rsid w:val="00225AAB"/>
    <w:rsid w:val="00226F29"/>
    <w:rsid w:val="00240EC4"/>
    <w:rsid w:val="00247B79"/>
    <w:rsid w:val="002631BD"/>
    <w:rsid w:val="0027765F"/>
    <w:rsid w:val="00286D11"/>
    <w:rsid w:val="002E1A41"/>
    <w:rsid w:val="002F7D92"/>
    <w:rsid w:val="00302482"/>
    <w:rsid w:val="00333FA1"/>
    <w:rsid w:val="00336EF0"/>
    <w:rsid w:val="00392516"/>
    <w:rsid w:val="003A5A85"/>
    <w:rsid w:val="003B34A9"/>
    <w:rsid w:val="003E286D"/>
    <w:rsid w:val="003F1C94"/>
    <w:rsid w:val="0043234B"/>
    <w:rsid w:val="00442F06"/>
    <w:rsid w:val="00445FEF"/>
    <w:rsid w:val="00464048"/>
    <w:rsid w:val="00465874"/>
    <w:rsid w:val="00490979"/>
    <w:rsid w:val="00491CEB"/>
    <w:rsid w:val="004A7F68"/>
    <w:rsid w:val="004B093C"/>
    <w:rsid w:val="004E1680"/>
    <w:rsid w:val="0050743E"/>
    <w:rsid w:val="00517C96"/>
    <w:rsid w:val="00523676"/>
    <w:rsid w:val="00523783"/>
    <w:rsid w:val="00526442"/>
    <w:rsid w:val="005619E5"/>
    <w:rsid w:val="005627FB"/>
    <w:rsid w:val="0056778A"/>
    <w:rsid w:val="00571965"/>
    <w:rsid w:val="00582942"/>
    <w:rsid w:val="005A0D69"/>
    <w:rsid w:val="005A2C74"/>
    <w:rsid w:val="005A4C90"/>
    <w:rsid w:val="005A4D2C"/>
    <w:rsid w:val="005C2892"/>
    <w:rsid w:val="005C35D3"/>
    <w:rsid w:val="005C53B4"/>
    <w:rsid w:val="005C7531"/>
    <w:rsid w:val="005D331B"/>
    <w:rsid w:val="005D60A3"/>
    <w:rsid w:val="005D7F4B"/>
    <w:rsid w:val="00611A01"/>
    <w:rsid w:val="006151F1"/>
    <w:rsid w:val="00617A6B"/>
    <w:rsid w:val="00632DB7"/>
    <w:rsid w:val="006508F1"/>
    <w:rsid w:val="006743C8"/>
    <w:rsid w:val="00681456"/>
    <w:rsid w:val="0068466A"/>
    <w:rsid w:val="00694DEE"/>
    <w:rsid w:val="006B4EE2"/>
    <w:rsid w:val="006B756D"/>
    <w:rsid w:val="006C676F"/>
    <w:rsid w:val="006D6C14"/>
    <w:rsid w:val="006D7D75"/>
    <w:rsid w:val="006E1794"/>
    <w:rsid w:val="00717B9C"/>
    <w:rsid w:val="00725A8A"/>
    <w:rsid w:val="00726479"/>
    <w:rsid w:val="0073068D"/>
    <w:rsid w:val="00747410"/>
    <w:rsid w:val="007524AD"/>
    <w:rsid w:val="0075471C"/>
    <w:rsid w:val="00776055"/>
    <w:rsid w:val="00780544"/>
    <w:rsid w:val="007810DB"/>
    <w:rsid w:val="007A2D51"/>
    <w:rsid w:val="007B4BAE"/>
    <w:rsid w:val="007C004B"/>
    <w:rsid w:val="007C3C5F"/>
    <w:rsid w:val="007D4FAD"/>
    <w:rsid w:val="007E25B9"/>
    <w:rsid w:val="007E7870"/>
    <w:rsid w:val="008107C9"/>
    <w:rsid w:val="00840228"/>
    <w:rsid w:val="008425DB"/>
    <w:rsid w:val="00847F0C"/>
    <w:rsid w:val="00853720"/>
    <w:rsid w:val="008634E8"/>
    <w:rsid w:val="0087374C"/>
    <w:rsid w:val="0087456A"/>
    <w:rsid w:val="008825FE"/>
    <w:rsid w:val="008874F1"/>
    <w:rsid w:val="008956E6"/>
    <w:rsid w:val="008A5AA6"/>
    <w:rsid w:val="008D3D2A"/>
    <w:rsid w:val="008D6916"/>
    <w:rsid w:val="008E59E4"/>
    <w:rsid w:val="008F05F7"/>
    <w:rsid w:val="009028EB"/>
    <w:rsid w:val="009111FC"/>
    <w:rsid w:val="00913A9E"/>
    <w:rsid w:val="009759DF"/>
    <w:rsid w:val="009768D7"/>
    <w:rsid w:val="009976FE"/>
    <w:rsid w:val="009C49F3"/>
    <w:rsid w:val="009D1E8C"/>
    <w:rsid w:val="009F478B"/>
    <w:rsid w:val="00A05E9B"/>
    <w:rsid w:val="00A067C7"/>
    <w:rsid w:val="00A200E4"/>
    <w:rsid w:val="00A254F8"/>
    <w:rsid w:val="00A27841"/>
    <w:rsid w:val="00A31876"/>
    <w:rsid w:val="00A46D1E"/>
    <w:rsid w:val="00A5717B"/>
    <w:rsid w:val="00A6188C"/>
    <w:rsid w:val="00A66AC9"/>
    <w:rsid w:val="00A71093"/>
    <w:rsid w:val="00A72DFF"/>
    <w:rsid w:val="00A77E8F"/>
    <w:rsid w:val="00A82319"/>
    <w:rsid w:val="00A9474C"/>
    <w:rsid w:val="00A9761C"/>
    <w:rsid w:val="00AB1E27"/>
    <w:rsid w:val="00AB2192"/>
    <w:rsid w:val="00AC2CA8"/>
    <w:rsid w:val="00AC56C2"/>
    <w:rsid w:val="00AC5DA7"/>
    <w:rsid w:val="00AE238D"/>
    <w:rsid w:val="00B01BCF"/>
    <w:rsid w:val="00B14CC6"/>
    <w:rsid w:val="00B34187"/>
    <w:rsid w:val="00B65569"/>
    <w:rsid w:val="00B7309F"/>
    <w:rsid w:val="00B734F0"/>
    <w:rsid w:val="00B8643D"/>
    <w:rsid w:val="00B86D36"/>
    <w:rsid w:val="00B92E28"/>
    <w:rsid w:val="00BA189C"/>
    <w:rsid w:val="00BB5C0F"/>
    <w:rsid w:val="00BE7761"/>
    <w:rsid w:val="00C12675"/>
    <w:rsid w:val="00C25212"/>
    <w:rsid w:val="00C41F44"/>
    <w:rsid w:val="00C57AA5"/>
    <w:rsid w:val="00C65336"/>
    <w:rsid w:val="00C77DE9"/>
    <w:rsid w:val="00C81776"/>
    <w:rsid w:val="00C90DEE"/>
    <w:rsid w:val="00C9621C"/>
    <w:rsid w:val="00CA6F89"/>
    <w:rsid w:val="00CB5F2C"/>
    <w:rsid w:val="00CF5CC6"/>
    <w:rsid w:val="00D1039D"/>
    <w:rsid w:val="00D458DD"/>
    <w:rsid w:val="00D6672D"/>
    <w:rsid w:val="00D66BB5"/>
    <w:rsid w:val="00D7348B"/>
    <w:rsid w:val="00D82F66"/>
    <w:rsid w:val="00D958CC"/>
    <w:rsid w:val="00DD1E96"/>
    <w:rsid w:val="00DE1238"/>
    <w:rsid w:val="00E04F7C"/>
    <w:rsid w:val="00E054B9"/>
    <w:rsid w:val="00E20D9A"/>
    <w:rsid w:val="00E303E1"/>
    <w:rsid w:val="00E7050A"/>
    <w:rsid w:val="00E87D7E"/>
    <w:rsid w:val="00E90829"/>
    <w:rsid w:val="00E93852"/>
    <w:rsid w:val="00E95CBC"/>
    <w:rsid w:val="00EA58A2"/>
    <w:rsid w:val="00EA7BD4"/>
    <w:rsid w:val="00EC2012"/>
    <w:rsid w:val="00EE2A44"/>
    <w:rsid w:val="00EE54B4"/>
    <w:rsid w:val="00F03B75"/>
    <w:rsid w:val="00F12BFF"/>
    <w:rsid w:val="00F2761F"/>
    <w:rsid w:val="00F27DEF"/>
    <w:rsid w:val="00F30327"/>
    <w:rsid w:val="00F43AD1"/>
    <w:rsid w:val="00F60EC7"/>
    <w:rsid w:val="00F7579D"/>
    <w:rsid w:val="00F7685D"/>
    <w:rsid w:val="00F950C8"/>
    <w:rsid w:val="00FA0281"/>
    <w:rsid w:val="00FC1273"/>
    <w:rsid w:val="00FC7C12"/>
    <w:rsid w:val="00FE5C04"/>
    <w:rsid w:val="00FF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6655D1B"/>
  <w15:chartTrackingRefBased/>
  <w15:docId w15:val="{CC82AAAC-AFAC-45F8-9975-AB0ABA2F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09F"/>
    <w:pPr>
      <w:spacing w:after="120" w:line="259" w:lineRule="auto"/>
    </w:pPr>
    <w:rPr>
      <w:rFonts w:ascii="Calibri" w:hAnsi="Calibri"/>
      <w:sz w:val="24"/>
    </w:rPr>
  </w:style>
  <w:style w:type="paragraph" w:styleId="Heading1">
    <w:name w:val="heading 1"/>
    <w:basedOn w:val="Normal"/>
    <w:next w:val="Normal"/>
    <w:link w:val="Heading1Char"/>
    <w:uiPriority w:val="3"/>
    <w:qFormat/>
    <w:rsid w:val="008874F1"/>
    <w:pPr>
      <w:keepNext/>
      <w:keepLines/>
      <w:spacing w:before="360" w:after="140"/>
      <w:outlineLvl w:val="0"/>
    </w:pPr>
    <w:rPr>
      <w:rFonts w:ascii="Century Gothic" w:eastAsiaTheme="majorEastAsia" w:hAnsi="Century Gothic" w:cstheme="majorBidi"/>
      <w:b/>
      <w:bCs/>
      <w:color w:val="F79646" w:themeColor="accent6"/>
      <w:sz w:val="28"/>
    </w:rPr>
  </w:style>
  <w:style w:type="paragraph" w:styleId="Heading2">
    <w:name w:val="heading 2"/>
    <w:basedOn w:val="Normal"/>
    <w:next w:val="Normal"/>
    <w:link w:val="Heading2Char"/>
    <w:uiPriority w:val="3"/>
    <w:unhideWhenUsed/>
    <w:qFormat/>
    <w:rsid w:val="008874F1"/>
    <w:pPr>
      <w:keepNext/>
      <w:keepLines/>
      <w:spacing w:before="120" w:line="240" w:lineRule="auto"/>
      <w:outlineLvl w:val="1"/>
    </w:pPr>
    <w:rPr>
      <w:rFonts w:ascii="Century Gothic" w:eastAsiaTheme="majorEastAsia" w:hAnsi="Century Gothic" w:cstheme="majorBidi"/>
      <w:b/>
      <w:color w:val="F79646" w:themeColor="accent6"/>
      <w:sz w:val="28"/>
    </w:rPr>
  </w:style>
  <w:style w:type="paragraph" w:styleId="Heading3">
    <w:name w:val="heading 3"/>
    <w:basedOn w:val="Normal"/>
    <w:next w:val="Normal"/>
    <w:link w:val="Heading3Char"/>
    <w:uiPriority w:val="3"/>
    <w:unhideWhenUsed/>
    <w:qFormat/>
    <w:rsid w:val="009028EB"/>
    <w:pPr>
      <w:keepNext/>
      <w:keepLines/>
      <w:spacing w:before="120"/>
      <w:outlineLvl w:val="2"/>
    </w:pPr>
    <w:rPr>
      <w:rFonts w:ascii="Century Gothic" w:hAnsi="Century Gothic"/>
      <w:b/>
      <w:bCs/>
      <w:color w:val="0070C0"/>
    </w:rPr>
  </w:style>
  <w:style w:type="paragraph" w:styleId="Heading4">
    <w:name w:val="heading 4"/>
    <w:basedOn w:val="Normal"/>
    <w:next w:val="Normal"/>
    <w:link w:val="Heading4Char"/>
    <w:uiPriority w:val="3"/>
    <w:unhideWhenUsed/>
    <w:qFormat/>
    <w:rsid w:val="00152E6F"/>
    <w:pPr>
      <w:keepNext/>
      <w:keepLines/>
      <w:spacing w:before="120"/>
      <w:outlineLvl w:val="3"/>
    </w:pPr>
    <w:rPr>
      <w:rFonts w:ascii="Century Gothic" w:eastAsiaTheme="majorEastAsia" w:hAnsi="Century Gothic" w:cstheme="majorBidi"/>
      <w:color w:val="0070C0"/>
      <w:sz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8874F1"/>
    <w:rPr>
      <w:rFonts w:ascii="Century Gothic" w:eastAsiaTheme="majorEastAsia" w:hAnsi="Century Gothic" w:cstheme="majorBidi"/>
      <w:b/>
      <w:bCs/>
      <w:color w:val="F79646" w:themeColor="accent6"/>
      <w:sz w:val="28"/>
    </w:rPr>
  </w:style>
  <w:style w:type="paragraph" w:customStyle="1" w:styleId="BlockHeading">
    <w:name w:val="Block Heading"/>
    <w:basedOn w:val="Normal"/>
    <w:next w:val="BlockText"/>
    <w:uiPriority w:val="3"/>
    <w:qFormat/>
    <w:rsid w:val="00717B9C"/>
    <w:pPr>
      <w:spacing w:after="180" w:line="216" w:lineRule="auto"/>
      <w:ind w:left="288" w:right="288"/>
    </w:pPr>
    <w:rPr>
      <w:rFonts w:ascii="Century Gothic" w:eastAsiaTheme="majorEastAsia" w:hAnsi="Century Gothic" w:cstheme="majorBidi"/>
      <w:b/>
      <w:bCs/>
      <w:color w:val="FFFFFF" w:themeColor="background1"/>
      <w:sz w:val="28"/>
    </w:rPr>
  </w:style>
  <w:style w:type="paragraph" w:styleId="Caption">
    <w:name w:val="caption"/>
    <w:basedOn w:val="Normal"/>
    <w:next w:val="Normal"/>
    <w:uiPriority w:val="3"/>
    <w:unhideWhenUsed/>
    <w:pPr>
      <w:spacing w:before="120" w:after="0" w:line="240" w:lineRule="auto"/>
    </w:pPr>
    <w:rPr>
      <w:i/>
      <w:iCs/>
      <w:color w:val="595959" w:themeColor="text1" w:themeTint="A6"/>
      <w:sz w:val="18"/>
    </w:rPr>
  </w:style>
  <w:style w:type="paragraph" w:styleId="BlockText">
    <w:name w:val="Block Text"/>
    <w:basedOn w:val="Normal"/>
    <w:uiPriority w:val="3"/>
    <w:unhideWhenUsed/>
    <w:qFormat/>
    <w:rsid w:val="008874F1"/>
    <w:pPr>
      <w:spacing w:after="180" w:line="312" w:lineRule="auto"/>
      <w:ind w:left="288" w:right="288"/>
    </w:pPr>
    <w:rPr>
      <w:color w:val="FFFFFF" w:themeColor="background1"/>
    </w:rPr>
  </w:style>
  <w:style w:type="character" w:customStyle="1" w:styleId="Heading2Char">
    <w:name w:val="Heading 2 Char"/>
    <w:basedOn w:val="DefaultParagraphFont"/>
    <w:link w:val="Heading2"/>
    <w:uiPriority w:val="3"/>
    <w:rsid w:val="008874F1"/>
    <w:rPr>
      <w:rFonts w:ascii="Century Gothic" w:eastAsiaTheme="majorEastAsia" w:hAnsi="Century Gothic" w:cstheme="majorBidi"/>
      <w:b/>
      <w:color w:val="F79646" w:themeColor="accent6"/>
      <w:sz w:val="28"/>
    </w:rPr>
  </w:style>
  <w:style w:type="character" w:customStyle="1" w:styleId="Heading3Char">
    <w:name w:val="Heading 3 Char"/>
    <w:basedOn w:val="DefaultParagraphFont"/>
    <w:link w:val="Heading3"/>
    <w:uiPriority w:val="3"/>
    <w:rsid w:val="009028EB"/>
    <w:rPr>
      <w:rFonts w:ascii="Century Gothic" w:hAnsi="Century Gothic"/>
      <w:b/>
      <w:bCs/>
      <w:color w:val="0070C0"/>
      <w:sz w:val="24"/>
    </w:rPr>
  </w:style>
  <w:style w:type="paragraph" w:styleId="Quote">
    <w:name w:val="Quote"/>
    <w:basedOn w:val="Normal"/>
    <w:next w:val="Normal"/>
    <w:link w:val="QuoteChar"/>
    <w:uiPriority w:val="3"/>
    <w:qFormat/>
    <w:pPr>
      <w:pBdr>
        <w:top w:val="single" w:sz="6" w:space="4" w:color="365F91" w:themeColor="accent1" w:themeShade="BF"/>
        <w:bottom w:val="single" w:sz="6" w:space="4" w:color="365F91"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rsid w:val="00152E6F"/>
    <w:rPr>
      <w:rFonts w:ascii="Century Gothic" w:eastAsiaTheme="majorEastAsia" w:hAnsi="Century Gothic" w:cstheme="majorBidi"/>
      <w:color w:val="0070C0"/>
      <w:sz w:val="22"/>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365F91"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Pr>
      <w:i/>
      <w:iCs/>
      <w:color w:val="365F91"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Pr>
      <w:i/>
      <w:iCs/>
      <w:color w:val="365F91" w:themeColor="accent1" w:themeShade="BF"/>
    </w:rPr>
  </w:style>
  <w:style w:type="character" w:styleId="IntenseReference">
    <w:name w:val="Intense Reference"/>
    <w:basedOn w:val="DefaultParagraphFont"/>
    <w:uiPriority w:val="32"/>
    <w:semiHidden/>
    <w:unhideWhenUsed/>
    <w:qFormat/>
    <w:rPr>
      <w:b/>
      <w:bCs/>
      <w:caps w:val="0"/>
      <w:smallCaps/>
      <w:color w:val="365F91"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paragraph" w:styleId="ListParagraph">
    <w:name w:val="List Paragraph"/>
    <w:basedOn w:val="Normal"/>
    <w:uiPriority w:val="34"/>
    <w:unhideWhenUsed/>
    <w:qFormat/>
    <w:rsid w:val="00152E6F"/>
    <w:pPr>
      <w:ind w:left="720"/>
      <w:contextualSpacing/>
    </w:pPr>
  </w:style>
  <w:style w:type="character" w:styleId="Hyperlink">
    <w:name w:val="Hyperlink"/>
    <w:basedOn w:val="DefaultParagraphFont"/>
    <w:uiPriority w:val="99"/>
    <w:unhideWhenUsed/>
    <w:rsid w:val="00B7309F"/>
    <w:rPr>
      <w:color w:val="0000FF" w:themeColor="hyperlink"/>
      <w:u w:val="single"/>
    </w:rPr>
  </w:style>
  <w:style w:type="character" w:styleId="FollowedHyperlink">
    <w:name w:val="FollowedHyperlink"/>
    <w:basedOn w:val="DefaultParagraphFont"/>
    <w:uiPriority w:val="99"/>
    <w:semiHidden/>
    <w:unhideWhenUsed/>
    <w:rsid w:val="00E20D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9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g"/><Relationship Id="rId26" Type="http://schemas.openxmlformats.org/officeDocument/2006/relationships/hyperlink" Target="https://business.kaiserpermanente.org/thrive/resource-center/covid-19-return-to-work-playbook" TargetMode="External"/><Relationship Id="rId3" Type="http://schemas.openxmlformats.org/officeDocument/2006/relationships/numbering" Target="numbering.xml"/><Relationship Id="rId21" Type="http://schemas.openxmlformats.org/officeDocument/2006/relationships/hyperlink" Target="https://www.cnn.com/2021/06/17/health/cave-syndrome-pandemic-wellness/" TargetMode="External"/><Relationship Id="rId7" Type="http://schemas.openxmlformats.org/officeDocument/2006/relationships/footnotes" Target="footnotes.xml"/><Relationship Id="rId12" Type="http://schemas.openxmlformats.org/officeDocument/2006/relationships/hyperlink" Target="https://wmbridges.com/about/william-bridges-bio/" TargetMode="External"/><Relationship Id="rId17" Type="http://schemas.openxmlformats.org/officeDocument/2006/relationships/hyperlink" Target="https://des.wa.gov/services/hr-finance/washington-state-employee-assistance-program-eap/webinars" TargetMode="External"/><Relationship Id="rId25" Type="http://schemas.openxmlformats.org/officeDocument/2006/relationships/hyperlink" Target="https://ofm.wa.gov/sites/default/files/public/shr/COVID19/SafeStart/RoadMap_Guide.pdf" TargetMode="External"/><Relationship Id="rId2" Type="http://schemas.openxmlformats.org/officeDocument/2006/relationships/customXml" Target="../customXml/item2.xml"/><Relationship Id="rId16" Type="http://schemas.openxmlformats.org/officeDocument/2006/relationships/hyperlink" Target="https://des.wa.gov/services/training-and-development" TargetMode="External"/><Relationship Id="rId20" Type="http://schemas.openxmlformats.org/officeDocument/2006/relationships/hyperlink" Target="https://hbr.org/2020/11/managing-someone-whose-life-has-been-upende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s://www.mentalhelp.net/stress/types-of-stressors-eustress-vs-distress/" TargetMode="External"/><Relationship Id="rId5" Type="http://schemas.openxmlformats.org/officeDocument/2006/relationships/settings" Target="settings.xml"/><Relationship Id="rId15" Type="http://schemas.openxmlformats.org/officeDocument/2006/relationships/hyperlink" Target="https://des.wa.gov/services/hr-finance/washington-state-employee-assistance-program-eap/webinars" TargetMode="External"/><Relationship Id="rId23" Type="http://schemas.openxmlformats.org/officeDocument/2006/relationships/hyperlink" Target="https://www.forbes.com/sites/palomacanterogomez/2019/07/16/positive-leadership-and-how-it-is-shaping-positive-organisational-behaviours/?sh=1877438845aa"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bewell.stanford.edu/coping-with-work-transitions-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es.wa.gov/services/hr-finance/washington-state-employee-assistance-program-eap/resources" TargetMode="External"/><Relationship Id="rId22" Type="http://schemas.openxmlformats.org/officeDocument/2006/relationships/hyperlink" Target="https://www.wsj.com/articles/how-to-rally-a-jittery-workforce-back-at-the-office-11621209601?mod=series_remotework"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rowb179\AppData\Roaming\Microsoft\Templates\Company%20Newsletter.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2.xml><?xml version="1.0" encoding="utf-8"?>
<ds:datastoreItem xmlns:ds="http://schemas.openxmlformats.org/officeDocument/2006/customXml" ds:itemID="{E3A34D0B-DA35-45C5-B004-04200EE8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Company Newsletter</Template>
  <TotalTime>2207</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Darrow (DES)</dc:creator>
  <cp:keywords/>
  <cp:lastModifiedBy>Brown, Darrow (DES)</cp:lastModifiedBy>
  <cp:revision>34</cp:revision>
  <cp:lastPrinted>2012-08-02T20:18:00Z</cp:lastPrinted>
  <dcterms:created xsi:type="dcterms:W3CDTF">2021-06-26T22:44:00Z</dcterms:created>
  <dcterms:modified xsi:type="dcterms:W3CDTF">2021-06-30T16:41:00Z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