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319" w:rsidRDefault="00AE238D" w:rsidP="00AE238D">
      <w:pPr>
        <w:pStyle w:val="Title"/>
        <w:jc w:val="center"/>
      </w:pPr>
      <w:bookmarkStart w:id="0" w:name="_GoBack"/>
      <w:bookmarkEnd w:id="0"/>
      <w:r>
        <w:rPr>
          <w:noProof/>
          <w:lang w:eastAsia="en-US"/>
        </w:rPr>
        <w:drawing>
          <wp:inline distT="0" distB="0" distL="0" distR="0">
            <wp:extent cx="5749070" cy="177165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945784" cy="1832270"/>
                    </a:xfrm>
                    <a:prstGeom prst="rect">
                      <a:avLst/>
                    </a:prstGeom>
                    <a:noFill/>
                    <a:ln>
                      <a:noFill/>
                    </a:ln>
                  </pic:spPr>
                </pic:pic>
              </a:graphicData>
            </a:graphic>
          </wp:inline>
        </w:drawing>
      </w:r>
    </w:p>
    <w:p w:rsidR="00F12BFF" w:rsidRDefault="004E1680" w:rsidP="00F12BFF">
      <w:pPr>
        <w:pStyle w:val="Quote"/>
        <w:rPr>
          <w:rFonts w:cs="Calibri"/>
          <w:sz w:val="24"/>
          <w:szCs w:val="24"/>
        </w:rPr>
      </w:pPr>
      <w:r>
        <w:rPr>
          <w:rFonts w:cs="Calibri"/>
          <w:sz w:val="24"/>
          <w:szCs w:val="24"/>
        </w:rPr>
        <w:t>June</w:t>
      </w:r>
      <w:r w:rsidR="00F12BFF">
        <w:rPr>
          <w:rFonts w:cs="Calibri"/>
          <w:sz w:val="24"/>
          <w:szCs w:val="24"/>
        </w:rPr>
        <w:t xml:space="preserve"> 2021</w:t>
      </w:r>
    </w:p>
    <w:p w:rsidR="0056778A" w:rsidRDefault="00A9474C" w:rsidP="0056778A">
      <w:pPr>
        <w:pStyle w:val="Heading2"/>
      </w:pPr>
      <w:bookmarkStart w:id="1" w:name="_Engaging_in_Race"/>
      <w:bookmarkStart w:id="2" w:name="_Anti-Asian/Pacific_Islander_Violenc"/>
      <w:bookmarkStart w:id="3" w:name="_Director’s_Corner"/>
      <w:bookmarkStart w:id="4" w:name="_Sexual_Assault_Awareness,"/>
      <w:bookmarkStart w:id="5" w:name="_Mental_Health_Awareness"/>
      <w:bookmarkStart w:id="6" w:name="_Pride_Month_2021"/>
      <w:bookmarkEnd w:id="1"/>
      <w:bookmarkEnd w:id="2"/>
      <w:bookmarkEnd w:id="3"/>
      <w:bookmarkEnd w:id="4"/>
      <w:bookmarkEnd w:id="5"/>
      <w:bookmarkEnd w:id="6"/>
      <w:r>
        <w:rPr>
          <w:noProof/>
          <w:lang w:eastAsia="en-US"/>
        </w:rPr>
        <mc:AlternateContent>
          <mc:Choice Requires="wps">
            <w:drawing>
              <wp:anchor distT="182880" distB="182880" distL="274320" distR="274320" simplePos="0" relativeHeight="251659264" behindDoc="0" locked="0" layoutInCell="1" allowOverlap="0">
                <wp:simplePos x="0" y="0"/>
                <wp:positionH relativeFrom="margin">
                  <wp:posOffset>0</wp:posOffset>
                </wp:positionH>
                <wp:positionV relativeFrom="paragraph">
                  <wp:posOffset>147955</wp:posOffset>
                </wp:positionV>
                <wp:extent cx="2095500" cy="4705350"/>
                <wp:effectExtent l="0" t="0" r="0" b="0"/>
                <wp:wrapSquare wrapText="bothSides"/>
                <wp:docPr id="1" name="Text Box 1" descr="Text box sidebar"/>
                <wp:cNvGraphicFramePr/>
                <a:graphic xmlns:a="http://schemas.openxmlformats.org/drawingml/2006/main">
                  <a:graphicData uri="http://schemas.microsoft.com/office/word/2010/wordprocessingShape">
                    <wps:wsp>
                      <wps:cNvSpPr txBox="1"/>
                      <wps:spPr>
                        <a:xfrm>
                          <a:off x="0" y="0"/>
                          <a:ext cx="2095500" cy="4705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518" w:type="dxa"/>
                              <w:tblBorders>
                                <w:top w:val="single" w:sz="4" w:space="0" w:color="auto"/>
                                <w:left w:val="single" w:sz="4" w:space="0" w:color="auto"/>
                                <w:bottom w:val="single" w:sz="4" w:space="0" w:color="auto"/>
                                <w:right w:val="single" w:sz="4" w:space="0" w:color="auto"/>
                                <w:insideH w:val="single" w:sz="4" w:space="0" w:color="auto"/>
                              </w:tblBorders>
                              <w:shd w:val="clear" w:color="auto" w:fill="1F497D" w:themeFill="text2"/>
                              <w:tblLayout w:type="fixed"/>
                              <w:tblCellMar>
                                <w:left w:w="0" w:type="dxa"/>
                                <w:right w:w="0" w:type="dxa"/>
                              </w:tblCellMar>
                              <w:tblLook w:val="04A0" w:firstRow="1" w:lastRow="0" w:firstColumn="1" w:lastColumn="0" w:noHBand="0" w:noVBand="1"/>
                              <w:tblDescription w:val="Sidebar layout table"/>
                            </w:tblPr>
                            <w:tblGrid>
                              <w:gridCol w:w="3518"/>
                            </w:tblGrid>
                            <w:tr w:rsidR="00A82319" w:rsidTr="00EE54B4">
                              <w:trPr>
                                <w:trHeight w:hRule="exact" w:val="7858"/>
                              </w:trPr>
                              <w:tc>
                                <w:tcPr>
                                  <w:tcW w:w="3518" w:type="dxa"/>
                                  <w:shd w:val="clear" w:color="auto" w:fill="1F497D" w:themeFill="text2"/>
                                  <w:tcMar>
                                    <w:top w:w="288" w:type="dxa"/>
                                    <w:bottom w:w="288" w:type="dxa"/>
                                  </w:tcMar>
                                </w:tcPr>
                                <w:p w:rsidR="00A82319" w:rsidRDefault="00717B9C">
                                  <w:pPr>
                                    <w:pStyle w:val="BlockHeading"/>
                                  </w:pPr>
                                  <w:r>
                                    <w:t>In this month’s n</w:t>
                                  </w:r>
                                  <w:r w:rsidR="00AE238D">
                                    <w:t>ewsletter:</w:t>
                                  </w:r>
                                </w:p>
                                <w:p w:rsidR="005627FB" w:rsidRDefault="00B01BCF" w:rsidP="00EE54B4">
                                  <w:pPr>
                                    <w:pStyle w:val="BlockText"/>
                                    <w:spacing w:after="120"/>
                                    <w:rPr>
                                      <w:rStyle w:val="Hyperlink"/>
                                      <w:color w:val="FFFFFF" w:themeColor="background1"/>
                                    </w:rPr>
                                  </w:pPr>
                                  <w:hyperlink w:anchor="_Pride_Month_2021" w:history="1">
                                    <w:r w:rsidR="004E1680">
                                      <w:rPr>
                                        <w:rStyle w:val="Hyperlink"/>
                                        <w:color w:val="FFFFFF" w:themeColor="background1"/>
                                      </w:rPr>
                                      <w:t>Pride Month 2021</w:t>
                                    </w:r>
                                  </w:hyperlink>
                                </w:p>
                                <w:p w:rsidR="00EE2A44" w:rsidRDefault="00B01BCF" w:rsidP="00EE54B4">
                                  <w:pPr>
                                    <w:pStyle w:val="BlockText"/>
                                    <w:spacing w:after="120"/>
                                    <w:rPr>
                                      <w:rStyle w:val="Hyperlink"/>
                                      <w:color w:val="FFFFFF" w:themeColor="background1"/>
                                    </w:rPr>
                                  </w:pPr>
                                  <w:hyperlink w:anchor="_Juneteenth_2021" w:history="1">
                                    <w:r w:rsidR="004E1680">
                                      <w:rPr>
                                        <w:rStyle w:val="Hyperlink"/>
                                        <w:color w:val="FFFFFF" w:themeColor="background1"/>
                                      </w:rPr>
                                      <w:t>Juneteenth 2021</w:t>
                                    </w:r>
                                  </w:hyperlink>
                                </w:p>
                                <w:p w:rsidR="008F05F7" w:rsidRDefault="00B01BCF" w:rsidP="00EE54B4">
                                  <w:pPr>
                                    <w:pStyle w:val="BlockText"/>
                                    <w:spacing w:after="120"/>
                                    <w:rPr>
                                      <w:rStyle w:val="Hyperlink"/>
                                      <w:color w:val="FFFFFF" w:themeColor="background1"/>
                                    </w:rPr>
                                  </w:pPr>
                                  <w:hyperlink w:anchor="_LGBTQ_Mental_Health" w:history="1">
                                    <w:r w:rsidR="004E1680">
                                      <w:rPr>
                                        <w:rStyle w:val="Hyperlink"/>
                                        <w:color w:val="FFFFFF" w:themeColor="background1"/>
                                      </w:rPr>
                                      <w:t>LGBTQ Mental Health and the Workplace</w:t>
                                    </w:r>
                                  </w:hyperlink>
                                </w:p>
                                <w:p w:rsidR="008F05F7" w:rsidRDefault="00B01BCF" w:rsidP="00EE54B4">
                                  <w:pPr>
                                    <w:pStyle w:val="BlockText"/>
                                    <w:spacing w:after="120"/>
                                    <w:rPr>
                                      <w:rStyle w:val="Hyperlink"/>
                                      <w:color w:val="FFFFFF" w:themeColor="background1"/>
                                    </w:rPr>
                                  </w:pPr>
                                  <w:hyperlink w:anchor="_Supporting_the_Employee" w:history="1">
                                    <w:r w:rsidR="007E7870">
                                      <w:rPr>
                                        <w:rStyle w:val="Hyperlink"/>
                                        <w:color w:val="FFFFFF" w:themeColor="background1"/>
                                      </w:rPr>
                                      <w:t>Supporting the Employee</w:t>
                                    </w:r>
                                  </w:hyperlink>
                                </w:p>
                                <w:p w:rsidR="008F05F7" w:rsidRDefault="00B01BCF" w:rsidP="00EE54B4">
                                  <w:pPr>
                                    <w:pStyle w:val="BlockText"/>
                                    <w:spacing w:after="120"/>
                                    <w:rPr>
                                      <w:rStyle w:val="Hyperlink"/>
                                      <w:color w:val="FFFFFF" w:themeColor="background1"/>
                                    </w:rPr>
                                  </w:pPr>
                                  <w:hyperlink w:anchor="_Resources" w:history="1">
                                    <w:r w:rsidR="008F05F7" w:rsidRPr="008F05F7">
                                      <w:rPr>
                                        <w:rStyle w:val="Hyperlink"/>
                                        <w:color w:val="FFFFFF" w:themeColor="background1"/>
                                      </w:rPr>
                                      <w:t>Resources</w:t>
                                    </w:r>
                                  </w:hyperlink>
                                </w:p>
                                <w:p w:rsidR="009F478B" w:rsidRPr="008F05F7" w:rsidRDefault="009F478B" w:rsidP="00EE54B4">
                                  <w:pPr>
                                    <w:pStyle w:val="BlockText"/>
                                    <w:spacing w:after="120"/>
                                    <w:rPr>
                                      <w:rStyle w:val="Hyperlink"/>
                                      <w:color w:val="FFFFFF" w:themeColor="background1"/>
                                    </w:rPr>
                                  </w:pPr>
                                </w:p>
                                <w:p w:rsidR="00717B9C" w:rsidRDefault="00717B9C" w:rsidP="00717B9C">
                                  <w:pPr>
                                    <w:pStyle w:val="BlockHeading"/>
                                  </w:pPr>
                                  <w:r>
                                    <w:t>Contact EAP</w:t>
                                  </w:r>
                                </w:p>
                                <w:p w:rsidR="00717B9C" w:rsidRPr="0000349C" w:rsidRDefault="0000349C" w:rsidP="004A7F68">
                                  <w:pPr>
                                    <w:spacing w:after="0"/>
                                    <w:ind w:left="288"/>
                                    <w:rPr>
                                      <w:rStyle w:val="Hyperlink"/>
                                      <w:color w:val="FFFFFF" w:themeColor="background1"/>
                                    </w:rPr>
                                  </w:pPr>
                                  <w:r w:rsidRPr="0000349C">
                                    <w:rPr>
                                      <w:color w:val="FFFFFF" w:themeColor="background1"/>
                                    </w:rPr>
                                    <w:fldChar w:fldCharType="begin"/>
                                  </w:r>
                                  <w:r w:rsidRPr="0000349C">
                                    <w:rPr>
                                      <w:color w:val="FFFFFF" w:themeColor="background1"/>
                                    </w:rPr>
                                    <w:instrText xml:space="preserve"> HYPERLINK "https://des.wa.gov/services/hr-finance/washington-state-employee-assistance-program-eap/webinars" </w:instrText>
                                  </w:r>
                                  <w:r w:rsidRPr="0000349C">
                                    <w:rPr>
                                      <w:color w:val="FFFFFF" w:themeColor="background1"/>
                                    </w:rPr>
                                    <w:fldChar w:fldCharType="separate"/>
                                  </w:r>
                                  <w:r w:rsidR="00717B9C" w:rsidRPr="0000349C">
                                    <w:rPr>
                                      <w:rStyle w:val="Hyperlink"/>
                                      <w:color w:val="FFFFFF" w:themeColor="background1"/>
                                    </w:rPr>
                                    <w:t>eap.wa.gov</w:t>
                                  </w:r>
                                </w:p>
                                <w:p w:rsidR="00717B9C" w:rsidRPr="00717B9C" w:rsidRDefault="0000349C" w:rsidP="004A7F68">
                                  <w:pPr>
                                    <w:spacing w:after="0"/>
                                    <w:ind w:left="288"/>
                                    <w:rPr>
                                      <w:color w:val="FFFFFF" w:themeColor="background1"/>
                                    </w:rPr>
                                  </w:pPr>
                                  <w:r w:rsidRPr="0000349C">
                                    <w:rPr>
                                      <w:color w:val="FFFFFF" w:themeColor="background1"/>
                                    </w:rPr>
                                    <w:fldChar w:fldCharType="end"/>
                                  </w:r>
                                  <w:r w:rsidR="004A7F68">
                                    <w:rPr>
                                      <w:color w:val="FFFFFF" w:themeColor="background1"/>
                                    </w:rPr>
                                    <w:t xml:space="preserve">Toll </w:t>
                                  </w:r>
                                  <w:r w:rsidR="00717B9C" w:rsidRPr="00717B9C">
                                    <w:rPr>
                                      <w:color w:val="FFFFFF" w:themeColor="background1"/>
                                    </w:rPr>
                                    <w:t>free: (877) 313-4455</w:t>
                                  </w:r>
                                </w:p>
                                <w:p w:rsidR="00717B9C" w:rsidRPr="00717B9C" w:rsidRDefault="00717B9C" w:rsidP="004A7F68">
                                  <w:pPr>
                                    <w:spacing w:after="0"/>
                                    <w:ind w:left="288"/>
                                    <w:rPr>
                                      <w:color w:val="FFFFFF" w:themeColor="background1"/>
                                    </w:rPr>
                                  </w:pPr>
                                  <w:r w:rsidRPr="00717B9C">
                                    <w:rPr>
                                      <w:color w:val="FFFFFF" w:themeColor="background1"/>
                                    </w:rPr>
                                    <w:t>Ph</w:t>
                                  </w:r>
                                  <w:r w:rsidR="004A7F68">
                                    <w:rPr>
                                      <w:color w:val="FFFFFF" w:themeColor="background1"/>
                                    </w:rPr>
                                    <w:t>one</w:t>
                                  </w:r>
                                  <w:r w:rsidRPr="00717B9C">
                                    <w:rPr>
                                      <w:color w:val="FFFFFF" w:themeColor="background1"/>
                                    </w:rPr>
                                    <w:t>: (360) 407-9490</w:t>
                                  </w:r>
                                </w:p>
                                <w:p w:rsidR="00717B9C" w:rsidRPr="00717B9C" w:rsidRDefault="00717B9C" w:rsidP="004A7F68">
                                  <w:pPr>
                                    <w:spacing w:after="0"/>
                                    <w:ind w:left="288"/>
                                    <w:rPr>
                                      <w:color w:val="FFFFFF" w:themeColor="background1"/>
                                    </w:rPr>
                                  </w:pPr>
                                  <w:r w:rsidRPr="00717B9C">
                                    <w:rPr>
                                      <w:color w:val="FFFFFF" w:themeColor="background1"/>
                                    </w:rPr>
                                    <w:t xml:space="preserve">Interpreters available. </w:t>
                                  </w:r>
                                </w:p>
                                <w:p w:rsidR="00717B9C" w:rsidRPr="00717B9C" w:rsidRDefault="0000349C" w:rsidP="0000349C">
                                  <w:pPr>
                                    <w:pStyle w:val="BlockText"/>
                                    <w:spacing w:after="0"/>
                                  </w:pPr>
                                  <w:r>
                                    <w:t xml:space="preserve">TTY:  </w:t>
                                  </w:r>
                                  <w:r w:rsidR="00717B9C" w:rsidRPr="00717B9C">
                                    <w:t xml:space="preserve">call </w:t>
                                  </w:r>
                                  <w:r>
                                    <w:t xml:space="preserve">711 </w:t>
                                  </w:r>
                                  <w:r w:rsidR="00717B9C" w:rsidRPr="00717B9C">
                                    <w:t xml:space="preserve">via WA </w:t>
                                  </w:r>
                                  <w:r>
                                    <w:t xml:space="preserve">Relay </w:t>
                                  </w:r>
                                </w:p>
                              </w:tc>
                            </w:tr>
                          </w:tbl>
                          <w:p w:rsidR="00A82319" w:rsidRDefault="00A82319">
                            <w:pPr>
                              <w:pStyle w:val="Caption"/>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alt="Text box sidebar" style="position:absolute;margin-left:0;margin-top:11.65pt;width:165pt;height:370.5pt;z-index:251659264;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" o:allowoverlap="f" filled="f" stroked="f" strokeweight=".5pt">
                <v:textbox inset="0,0,0,0">
                  <w:txbxContent>
                    <w:tbl>
                      <w:tblPr>
                        <w:tblW w:w="3518" w:type="dxa"/>
                        <w:tblBorders>
                          <w:top w:val="single" w:sz="4" w:space="0" w:color="auto"/>
                          <w:left w:val="single" w:sz="4" w:space="0" w:color="auto"/>
                          <w:bottom w:val="single" w:sz="4" w:space="0" w:color="auto"/>
                          <w:right w:val="single" w:sz="4" w:space="0" w:color="auto"/>
                          <w:insideH w:val="single" w:sz="4" w:space="0" w:color="auto"/>
                        </w:tblBorders>
                        <w:shd w:val="clear" w:color="auto" w:fill="1F497D" w:themeFill="text2"/>
                        <w:tblLayout w:type="fixed"/>
                        <w:tblCellMar>
                          <w:left w:w="0" w:type="dxa"/>
                          <w:right w:w="0" w:type="dxa"/>
                        </w:tblCellMar>
                        <w:tblLook w:val="04A0" w:firstRow="1" w:lastRow="0" w:firstColumn="1" w:lastColumn="0" w:noHBand="0" w:noVBand="1"/>
                        <w:tblDescription w:val="Sidebar layout table"/>
                      </w:tblPr>
                      <w:tblGrid>
                        <w:gridCol w:w="3518"/>
                      </w:tblGrid>
                      <w:tr w:rsidR="00A82319" w:rsidTr="00EE54B4">
                        <w:trPr>
                          <w:trHeight w:hRule="exact" w:val="7858"/>
                        </w:trPr>
                        <w:tc>
                          <w:tcPr>
                            <w:tcW w:w="3518" w:type="dxa"/>
                            <w:shd w:val="clear" w:color="auto" w:fill="1F497D" w:themeFill="text2"/>
                            <w:tcMar>
                              <w:top w:w="288" w:type="dxa"/>
                              <w:bottom w:w="288" w:type="dxa"/>
                            </w:tcMar>
                          </w:tcPr>
                          <w:p w:rsidR="00A82319" w:rsidRDefault="00717B9C">
                            <w:pPr>
                              <w:pStyle w:val="BlockHeading"/>
                            </w:pPr>
                            <w:r>
                              <w:t>In this month’s n</w:t>
                            </w:r>
                            <w:r w:rsidR="00AE238D">
                              <w:t>ewsletter:</w:t>
                            </w:r>
                          </w:p>
                          <w:p w:rsidR="005627FB" w:rsidRDefault="00B01BCF" w:rsidP="00EE54B4">
                            <w:pPr>
                              <w:pStyle w:val="BlockText"/>
                              <w:spacing w:after="120"/>
                              <w:rPr>
                                <w:rStyle w:val="Hyperlink"/>
                                <w:color w:val="FFFFFF" w:themeColor="background1"/>
                              </w:rPr>
                            </w:pPr>
                            <w:hyperlink w:anchor="_Pride_Month_2021" w:history="1">
                              <w:r w:rsidR="004E1680">
                                <w:rPr>
                                  <w:rStyle w:val="Hyperlink"/>
                                  <w:color w:val="FFFFFF" w:themeColor="background1"/>
                                </w:rPr>
                                <w:t>Pride Month 2021</w:t>
                              </w:r>
                            </w:hyperlink>
                          </w:p>
                          <w:p w:rsidR="00EE2A44" w:rsidRDefault="00B01BCF" w:rsidP="00EE54B4">
                            <w:pPr>
                              <w:pStyle w:val="BlockText"/>
                              <w:spacing w:after="120"/>
                              <w:rPr>
                                <w:rStyle w:val="Hyperlink"/>
                                <w:color w:val="FFFFFF" w:themeColor="background1"/>
                              </w:rPr>
                            </w:pPr>
                            <w:hyperlink w:anchor="_Juneteenth_2021" w:history="1">
                              <w:r w:rsidR="004E1680">
                                <w:rPr>
                                  <w:rStyle w:val="Hyperlink"/>
                                  <w:color w:val="FFFFFF" w:themeColor="background1"/>
                                </w:rPr>
                                <w:t>Juneteenth 2021</w:t>
                              </w:r>
                            </w:hyperlink>
                          </w:p>
                          <w:p w:rsidR="008F05F7" w:rsidRDefault="00B01BCF" w:rsidP="00EE54B4">
                            <w:pPr>
                              <w:pStyle w:val="BlockText"/>
                              <w:spacing w:after="120"/>
                              <w:rPr>
                                <w:rStyle w:val="Hyperlink"/>
                                <w:color w:val="FFFFFF" w:themeColor="background1"/>
                              </w:rPr>
                            </w:pPr>
                            <w:hyperlink w:anchor="_LGBTQ_Mental_Health" w:history="1">
                              <w:r w:rsidR="004E1680">
                                <w:rPr>
                                  <w:rStyle w:val="Hyperlink"/>
                                  <w:color w:val="FFFFFF" w:themeColor="background1"/>
                                </w:rPr>
                                <w:t>LGBTQ Mental Health and the Workplace</w:t>
                              </w:r>
                            </w:hyperlink>
                          </w:p>
                          <w:p w:rsidR="008F05F7" w:rsidRDefault="00B01BCF" w:rsidP="00EE54B4">
                            <w:pPr>
                              <w:pStyle w:val="BlockText"/>
                              <w:spacing w:after="120"/>
                              <w:rPr>
                                <w:rStyle w:val="Hyperlink"/>
                                <w:color w:val="FFFFFF" w:themeColor="background1"/>
                              </w:rPr>
                            </w:pPr>
                            <w:hyperlink w:anchor="_Supporting_the_Employee" w:history="1">
                              <w:r w:rsidR="007E7870">
                                <w:rPr>
                                  <w:rStyle w:val="Hyperlink"/>
                                  <w:color w:val="FFFFFF" w:themeColor="background1"/>
                                </w:rPr>
                                <w:t>Supporting the Employee</w:t>
                              </w:r>
                            </w:hyperlink>
                          </w:p>
                          <w:p w:rsidR="008F05F7" w:rsidRDefault="00B01BCF" w:rsidP="00EE54B4">
                            <w:pPr>
                              <w:pStyle w:val="BlockText"/>
                              <w:spacing w:after="120"/>
                              <w:rPr>
                                <w:rStyle w:val="Hyperlink"/>
                                <w:color w:val="FFFFFF" w:themeColor="background1"/>
                              </w:rPr>
                            </w:pPr>
                            <w:hyperlink w:anchor="_Resources" w:history="1">
                              <w:r w:rsidR="008F05F7" w:rsidRPr="008F05F7">
                                <w:rPr>
                                  <w:rStyle w:val="Hyperlink"/>
                                  <w:color w:val="FFFFFF" w:themeColor="background1"/>
                                </w:rPr>
                                <w:t>Resources</w:t>
                              </w:r>
                            </w:hyperlink>
                          </w:p>
                          <w:p w:rsidR="009F478B" w:rsidRPr="008F05F7" w:rsidRDefault="009F478B" w:rsidP="00EE54B4">
                            <w:pPr>
                              <w:pStyle w:val="BlockText"/>
                              <w:spacing w:after="120"/>
                              <w:rPr>
                                <w:rStyle w:val="Hyperlink"/>
                                <w:color w:val="FFFFFF" w:themeColor="background1"/>
                              </w:rPr>
                            </w:pPr>
                          </w:p>
                          <w:p w:rsidR="00717B9C" w:rsidRDefault="00717B9C" w:rsidP="00717B9C">
                            <w:pPr>
                              <w:pStyle w:val="BlockHeading"/>
                            </w:pPr>
                            <w:r>
                              <w:t>Contact EAP</w:t>
                            </w:r>
                          </w:p>
                          <w:p w:rsidR="00717B9C" w:rsidRPr="0000349C" w:rsidRDefault="0000349C" w:rsidP="004A7F68">
                            <w:pPr>
                              <w:spacing w:after="0"/>
                              <w:ind w:left="288"/>
                              <w:rPr>
                                <w:rStyle w:val="Hyperlink"/>
                                <w:color w:val="FFFFFF" w:themeColor="background1"/>
                              </w:rPr>
                            </w:pPr>
                            <w:r w:rsidRPr="0000349C">
                              <w:rPr>
                                <w:color w:val="FFFFFF" w:themeColor="background1"/>
                              </w:rPr>
                              <w:fldChar w:fldCharType="begin"/>
                            </w:r>
                            <w:r w:rsidRPr="0000349C">
                              <w:rPr>
                                <w:color w:val="FFFFFF" w:themeColor="background1"/>
                              </w:rPr>
                              <w:instrText xml:space="preserve"> HYPERLINK "https://des.wa.gov/services/hr-finance/washington-state-employee-assistance-program-eap/webinars" </w:instrText>
                            </w:r>
                            <w:r w:rsidRPr="0000349C">
                              <w:rPr>
                                <w:color w:val="FFFFFF" w:themeColor="background1"/>
                              </w:rPr>
                              <w:fldChar w:fldCharType="separate"/>
                            </w:r>
                            <w:r w:rsidR="00717B9C" w:rsidRPr="0000349C">
                              <w:rPr>
                                <w:rStyle w:val="Hyperlink"/>
                                <w:color w:val="FFFFFF" w:themeColor="background1"/>
                              </w:rPr>
                              <w:t>eap.wa.gov</w:t>
                            </w:r>
                          </w:p>
                          <w:p w:rsidR="00717B9C" w:rsidRPr="00717B9C" w:rsidRDefault="0000349C" w:rsidP="004A7F68">
                            <w:pPr>
                              <w:spacing w:after="0"/>
                              <w:ind w:left="288"/>
                              <w:rPr>
                                <w:color w:val="FFFFFF" w:themeColor="background1"/>
                              </w:rPr>
                            </w:pPr>
                            <w:r w:rsidRPr="0000349C">
                              <w:rPr>
                                <w:color w:val="FFFFFF" w:themeColor="background1"/>
                              </w:rPr>
                              <w:fldChar w:fldCharType="end"/>
                            </w:r>
                            <w:r w:rsidR="004A7F68">
                              <w:rPr>
                                <w:color w:val="FFFFFF" w:themeColor="background1"/>
                              </w:rPr>
                              <w:t xml:space="preserve">Toll </w:t>
                            </w:r>
                            <w:r w:rsidR="00717B9C" w:rsidRPr="00717B9C">
                              <w:rPr>
                                <w:color w:val="FFFFFF" w:themeColor="background1"/>
                              </w:rPr>
                              <w:t>free: (877) 313-4455</w:t>
                            </w:r>
                          </w:p>
                          <w:p w:rsidR="00717B9C" w:rsidRPr="00717B9C" w:rsidRDefault="00717B9C" w:rsidP="004A7F68">
                            <w:pPr>
                              <w:spacing w:after="0"/>
                              <w:ind w:left="288"/>
                              <w:rPr>
                                <w:color w:val="FFFFFF" w:themeColor="background1"/>
                              </w:rPr>
                            </w:pPr>
                            <w:r w:rsidRPr="00717B9C">
                              <w:rPr>
                                <w:color w:val="FFFFFF" w:themeColor="background1"/>
                              </w:rPr>
                              <w:t>Ph</w:t>
                            </w:r>
                            <w:r w:rsidR="004A7F68">
                              <w:rPr>
                                <w:color w:val="FFFFFF" w:themeColor="background1"/>
                              </w:rPr>
                              <w:t>one</w:t>
                            </w:r>
                            <w:r w:rsidRPr="00717B9C">
                              <w:rPr>
                                <w:color w:val="FFFFFF" w:themeColor="background1"/>
                              </w:rPr>
                              <w:t>: (360) 407-9490</w:t>
                            </w:r>
                          </w:p>
                          <w:p w:rsidR="00717B9C" w:rsidRPr="00717B9C" w:rsidRDefault="00717B9C" w:rsidP="004A7F68">
                            <w:pPr>
                              <w:spacing w:after="0"/>
                              <w:ind w:left="288"/>
                              <w:rPr>
                                <w:color w:val="FFFFFF" w:themeColor="background1"/>
                              </w:rPr>
                            </w:pPr>
                            <w:r w:rsidRPr="00717B9C">
                              <w:rPr>
                                <w:color w:val="FFFFFF" w:themeColor="background1"/>
                              </w:rPr>
                              <w:t xml:space="preserve">Interpreters available. </w:t>
                            </w:r>
                          </w:p>
                          <w:p w:rsidR="00717B9C" w:rsidRPr="00717B9C" w:rsidRDefault="0000349C" w:rsidP="0000349C">
                            <w:pPr>
                              <w:pStyle w:val="BlockText"/>
                              <w:spacing w:after="0"/>
                            </w:pPr>
                            <w:r>
                              <w:t xml:space="preserve">TTY:  </w:t>
                            </w:r>
                            <w:r w:rsidR="00717B9C" w:rsidRPr="00717B9C">
                              <w:t xml:space="preserve">call </w:t>
                            </w:r>
                            <w:r>
                              <w:t xml:space="preserve">711 </w:t>
                            </w:r>
                            <w:r w:rsidR="00717B9C" w:rsidRPr="00717B9C">
                              <w:t xml:space="preserve">via WA </w:t>
                            </w:r>
                            <w:r>
                              <w:t xml:space="preserve">Relay </w:t>
                            </w:r>
                          </w:p>
                        </w:tc>
                      </w:tr>
                    </w:tbl>
                    <w:p w:rsidR="00A82319" w:rsidRDefault="00A82319">
                      <w:pPr>
                        <w:pStyle w:val="Caption"/>
                      </w:pPr>
                    </w:p>
                  </w:txbxContent>
                </v:textbox>
                <w10:wrap type="square" anchorx="margin"/>
              </v:shape>
            </w:pict>
          </mc:Fallback>
        </mc:AlternateContent>
      </w:r>
      <w:bookmarkStart w:id="7" w:name="_Leading_with_Compassion"/>
      <w:bookmarkEnd w:id="7"/>
      <w:r w:rsidR="004E1680">
        <w:t>Pride Month 2021</w:t>
      </w:r>
    </w:p>
    <w:p w:rsidR="00C65336" w:rsidRPr="00C65336" w:rsidRDefault="000B52FA" w:rsidP="00C65336">
      <w:r>
        <w:rPr>
          <w:noProof/>
          <w:lang w:eastAsia="en-US"/>
        </w:rPr>
        <w:drawing>
          <wp:inline distT="0" distB="0" distL="0" distR="0">
            <wp:extent cx="4133850" cy="96901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ideMonthHeader.jpg"/>
                    <pic:cNvPicPr/>
                  </pic:nvPicPr>
                  <pic:blipFill>
                    <a:blip r:embed="rId9">
                      <a:extLst>
                        <a:ext uri="{28A0092B-C50C-407E-A947-70E740481C1C}">
                          <a14:useLocalDpi xmlns:a14="http://schemas.microsoft.com/office/drawing/2010/main" val="0"/>
                        </a:ext>
                      </a:extLst>
                    </a:blip>
                    <a:stretch>
                      <a:fillRect/>
                    </a:stretch>
                  </pic:blipFill>
                  <pic:spPr>
                    <a:xfrm>
                      <a:off x="0" y="0"/>
                      <a:ext cx="4134935" cy="969264"/>
                    </a:xfrm>
                    <a:prstGeom prst="rect">
                      <a:avLst/>
                    </a:prstGeom>
                  </pic:spPr>
                </pic:pic>
              </a:graphicData>
            </a:graphic>
          </wp:inline>
        </w:drawing>
      </w:r>
    </w:p>
    <w:p w:rsidR="004E1680" w:rsidRPr="004E1680" w:rsidRDefault="004E1680" w:rsidP="004E1680">
      <w:r w:rsidRPr="004E1680">
        <w:t xml:space="preserve">June is Gay, Lesbian, Bisexual, Transgender and Queer (LGBTQ) Pride Month, a time to honor the 1969 Stonewall Uprising in the Greenwich Village neighborhood of Lower Manhattan, New York City.  It’s also a </w:t>
      </w:r>
      <w:r w:rsidR="00BA189C">
        <w:t xml:space="preserve">time to </w:t>
      </w:r>
      <w:r w:rsidRPr="004E1680">
        <w:t xml:space="preserve">foster awareness of social justice and equity issues faced by people in LGBTQ communities </w:t>
      </w:r>
      <w:r w:rsidRPr="004E1680">
        <w:lastRenderedPageBreak/>
        <w:t>across the co</w:t>
      </w:r>
      <w:r w:rsidR="008E59E4">
        <w:t xml:space="preserve">untry.  </w:t>
      </w:r>
      <w:r w:rsidR="000B114F">
        <w:t>See</w:t>
      </w:r>
      <w:r w:rsidR="008E59E4">
        <w:t xml:space="preserve"> the </w:t>
      </w:r>
      <w:hyperlink r:id="rId10" w:history="1">
        <w:r w:rsidR="008E59E4" w:rsidRPr="008E59E4">
          <w:rPr>
            <w:rStyle w:val="Hyperlink"/>
          </w:rPr>
          <w:t xml:space="preserve">June </w:t>
        </w:r>
        <w:r w:rsidRPr="008E59E4">
          <w:rPr>
            <w:rStyle w:val="Hyperlink"/>
          </w:rPr>
          <w:t>Employee</w:t>
        </w:r>
        <w:r w:rsidR="008E59E4" w:rsidRPr="008E59E4">
          <w:rPr>
            <w:rStyle w:val="Hyperlink"/>
          </w:rPr>
          <w:t xml:space="preserve"> Frontline</w:t>
        </w:r>
        <w:r w:rsidRPr="008E59E4">
          <w:rPr>
            <w:rStyle w:val="Hyperlink"/>
          </w:rPr>
          <w:t xml:space="preserve"> Newsletter</w:t>
        </w:r>
      </w:hyperlink>
      <w:r w:rsidRPr="004E1680">
        <w:t xml:space="preserve"> for more information about Pride Month, including events, resources and other links of interest.  </w:t>
      </w:r>
    </w:p>
    <w:p w:rsidR="00EE2A44" w:rsidRDefault="004E1680" w:rsidP="00EE2A44">
      <w:pPr>
        <w:pStyle w:val="Heading2"/>
      </w:pPr>
      <w:bookmarkStart w:id="8" w:name="_Mental_Health_in"/>
      <w:bookmarkStart w:id="9" w:name="_Juneteenth_2021"/>
      <w:bookmarkEnd w:id="8"/>
      <w:bookmarkEnd w:id="9"/>
      <w:r>
        <w:t>Juneteenth 2021</w:t>
      </w:r>
    </w:p>
    <w:p w:rsidR="000B52FA" w:rsidRPr="000B52FA" w:rsidRDefault="000B52FA" w:rsidP="000B52FA">
      <w:r>
        <w:rPr>
          <w:noProof/>
          <w:lang w:eastAsia="en-US"/>
        </w:rPr>
        <w:drawing>
          <wp:inline distT="0" distB="0" distL="0" distR="0">
            <wp:extent cx="4131577" cy="110490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juneteenth banner.jpg"/>
                    <pic:cNvPicPr/>
                  </pic:nvPicPr>
                  <pic:blipFill>
                    <a:blip r:embed="rId11">
                      <a:extLst>
                        <a:ext uri="{28A0092B-C50C-407E-A947-70E740481C1C}">
                          <a14:useLocalDpi xmlns:a14="http://schemas.microsoft.com/office/drawing/2010/main" val="0"/>
                        </a:ext>
                      </a:extLst>
                    </a:blip>
                    <a:stretch>
                      <a:fillRect/>
                    </a:stretch>
                  </pic:blipFill>
                  <pic:spPr>
                    <a:xfrm>
                      <a:off x="0" y="0"/>
                      <a:ext cx="4137894" cy="1106589"/>
                    </a:xfrm>
                    <a:prstGeom prst="rect">
                      <a:avLst/>
                    </a:prstGeom>
                  </pic:spPr>
                </pic:pic>
              </a:graphicData>
            </a:graphic>
          </wp:inline>
        </w:drawing>
      </w:r>
    </w:p>
    <w:p w:rsidR="004E1680" w:rsidRDefault="004E1680" w:rsidP="004E1680">
      <w:r w:rsidRPr="004E1680">
        <w:t xml:space="preserve">On June 19th we celebrate Juneteenth, to commemorate the actual ending of the practice of chattel slavery in our country. Also known as “Emancipation Day” and “Freedom Day”, Juneteenth has long been celebrated </w:t>
      </w:r>
      <w:r w:rsidR="007C004B">
        <w:t>in</w:t>
      </w:r>
      <w:r w:rsidRPr="004E1680">
        <w:t xml:space="preserve"> the African American community. </w:t>
      </w:r>
      <w:r w:rsidR="007C004B">
        <w:t>See</w:t>
      </w:r>
      <w:r w:rsidRPr="004E1680">
        <w:t xml:space="preserve"> the </w:t>
      </w:r>
      <w:hyperlink r:id="rId12" w:history="1">
        <w:r w:rsidR="000B114F" w:rsidRPr="000B114F">
          <w:rPr>
            <w:rStyle w:val="Hyperlink"/>
          </w:rPr>
          <w:t xml:space="preserve">June </w:t>
        </w:r>
        <w:r w:rsidRPr="000B114F">
          <w:rPr>
            <w:rStyle w:val="Hyperlink"/>
          </w:rPr>
          <w:t>Employee</w:t>
        </w:r>
        <w:r w:rsidR="000B114F" w:rsidRPr="000B114F">
          <w:rPr>
            <w:rStyle w:val="Hyperlink"/>
          </w:rPr>
          <w:t xml:space="preserve"> Frontline</w:t>
        </w:r>
        <w:r w:rsidRPr="000B114F">
          <w:rPr>
            <w:rStyle w:val="Hyperlink"/>
          </w:rPr>
          <w:t xml:space="preserve"> Newsletter</w:t>
        </w:r>
      </w:hyperlink>
      <w:r w:rsidRPr="004E1680">
        <w:t xml:space="preserve"> for more information about Juneteenth, including events, resources and other links of interest.  </w:t>
      </w:r>
    </w:p>
    <w:p w:rsidR="004E1680" w:rsidRDefault="004E1680" w:rsidP="004E1680">
      <w:pPr>
        <w:pStyle w:val="Heading2"/>
      </w:pPr>
      <w:bookmarkStart w:id="10" w:name="_LGBTQ_Mental_Health"/>
      <w:bookmarkEnd w:id="10"/>
      <w:r w:rsidRPr="004E1680">
        <w:t>LGBTQ Mental Health and the Workplace</w:t>
      </w:r>
    </w:p>
    <w:p w:rsidR="004E1680" w:rsidRDefault="007C004B" w:rsidP="00582942">
      <w:r>
        <w:t>LGBTQ+</w:t>
      </w:r>
      <w:r w:rsidR="00A05E9B">
        <w:t xml:space="preserve"> individuals</w:t>
      </w:r>
      <w:r w:rsidR="004E1680">
        <w:t xml:space="preserve"> continue to face equali</w:t>
      </w:r>
      <w:r w:rsidR="00681456">
        <w:t xml:space="preserve">ty and equity issues related to </w:t>
      </w:r>
      <w:r w:rsidR="004E1680">
        <w:t xml:space="preserve">safety, housing, employment and physical and mental health. To be effective, supervisors </w:t>
      </w:r>
      <w:r w:rsidR="004E1680" w:rsidRPr="00323CF0">
        <w:t xml:space="preserve">must be </w:t>
      </w:r>
      <w:r w:rsidR="004E1680">
        <w:t>aware</w:t>
      </w:r>
      <w:r w:rsidR="004E1680" w:rsidRPr="00323CF0">
        <w:t xml:space="preserve"> of how different groups</w:t>
      </w:r>
      <w:r w:rsidR="004E1680">
        <w:t>, including LGBTQ</w:t>
      </w:r>
      <w:r w:rsidR="00A05E9B">
        <w:t>+</w:t>
      </w:r>
      <w:r w:rsidR="004E1680">
        <w:t xml:space="preserve"> workers and workers from other underrepresented communities, </w:t>
      </w:r>
      <w:r w:rsidR="004E1680" w:rsidRPr="00323CF0">
        <w:t>are affected by mental health issues</w:t>
      </w:r>
      <w:r w:rsidR="004E1680">
        <w:t xml:space="preserve">. </w:t>
      </w:r>
    </w:p>
    <w:p w:rsidR="004E1680" w:rsidRDefault="004E1680" w:rsidP="004E1680">
      <w:r w:rsidRPr="00323CF0">
        <w:lastRenderedPageBreak/>
        <w:t xml:space="preserve">LGBTQ+ adults are more than twice as likely to experience a mental health </w:t>
      </w:r>
      <w:r>
        <w:t xml:space="preserve">condition in their lifetimes and </w:t>
      </w:r>
      <w:r w:rsidRPr="00C60D41">
        <w:t xml:space="preserve">2.5 times more likely to experience </w:t>
      </w:r>
      <w:r>
        <w:t xml:space="preserve">anxiety, </w:t>
      </w:r>
      <w:r w:rsidRPr="00C60D41">
        <w:t>depression and substance misuse</w:t>
      </w:r>
      <w:r>
        <w:t xml:space="preserve"> and abuse, as </w:t>
      </w:r>
      <w:r w:rsidRPr="00C60D41">
        <w:t>compared with heterosexual individuals</w:t>
      </w:r>
      <w:r>
        <w:t>. Women who identify as lesbian/bisexual are more than 2 times as likely to engage in high-risk alcohol use in the past month as heterosexual women (8.0% vs. 4.4%). The risk of suicide attempts is higher among t</w:t>
      </w:r>
      <w:r w:rsidRPr="00B125E5">
        <w:t xml:space="preserve">ransgender individuals who identify as African American/black, Hispanic/Latino, American Indian/Alaska Native, or Multiracial/Mixed Race </w:t>
      </w:r>
      <w:r>
        <w:t xml:space="preserve">as compared to that of </w:t>
      </w:r>
      <w:r w:rsidRPr="00B125E5">
        <w:t>white transgender individuals</w:t>
      </w:r>
      <w:r>
        <w:t xml:space="preserve">. </w:t>
      </w:r>
      <w:r w:rsidR="0075471C">
        <w:t xml:space="preserve">These health disparities are closely linked to stigma, discrimination in housing, employment and healthcare and violence against LGBTQ+ individuals.  </w:t>
      </w:r>
    </w:p>
    <w:p w:rsidR="007E7870" w:rsidRDefault="007E7870" w:rsidP="004E1680">
      <w:r w:rsidRPr="007E7870">
        <w:t xml:space="preserve">LGBTQ individuals also face continued daunting challenges at work.  Employed LGBTQ individuals have fewer protections than their non-LGBTQ+ colleagues. No federal law exists that prohibits workplace discrimination based on sexual or gender identity. Employees can be fired for being gay, lesbian, bisexual or transgender in more than half of US states. LGBTQ+ employees report facing hiring and career-advancement discrimination, in addition to harassment in the workplace at a higher rate than their straight and cisgender counterparts. </w:t>
      </w:r>
      <w:r w:rsidR="007C004B">
        <w:t>LGBTQ+</w:t>
      </w:r>
      <w:r w:rsidRPr="007E7870">
        <w:t>+ women and individuals of color are more than twice as likely to describe discrimination in the workplace as their white peers and 90% of transgender workers have experienced harassment or mistreatment at work.</w:t>
      </w:r>
    </w:p>
    <w:p w:rsidR="00BE7761" w:rsidRDefault="00C57AA5" w:rsidP="00BE7761">
      <w:pPr>
        <w:pStyle w:val="Heading2"/>
      </w:pPr>
      <w:bookmarkStart w:id="11" w:name="_Supporting_the_Employee"/>
      <w:bookmarkEnd w:id="11"/>
      <w:r>
        <w:lastRenderedPageBreak/>
        <w:t>Supporting the Employee</w:t>
      </w:r>
    </w:p>
    <w:p w:rsidR="007E7870" w:rsidRDefault="00E7050A" w:rsidP="007E7870">
      <w:pPr>
        <w:rPr>
          <w:noProof/>
          <w:lang w:eastAsia="en-US"/>
        </w:rPr>
      </w:pPr>
      <w:r>
        <w:rPr>
          <w:noProof/>
          <w:lang w:eastAsia="en-US"/>
        </w:rPr>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3124200" cy="136207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oden dolls.jpg"/>
                    <pic:cNvPicPr/>
                  </pic:nvPicPr>
                  <pic:blipFill>
                    <a:blip r:embed="rId13">
                      <a:extLst>
                        <a:ext uri="{28A0092B-C50C-407E-A947-70E740481C1C}">
                          <a14:useLocalDpi xmlns:a14="http://schemas.microsoft.com/office/drawing/2010/main" val="0"/>
                        </a:ext>
                      </a:extLst>
                    </a:blip>
                    <a:stretch>
                      <a:fillRect/>
                    </a:stretch>
                  </pic:blipFill>
                  <pic:spPr>
                    <a:xfrm>
                      <a:off x="0" y="0"/>
                      <a:ext cx="3124200" cy="1362075"/>
                    </a:xfrm>
                    <a:prstGeom prst="rect">
                      <a:avLst/>
                    </a:prstGeom>
                  </pic:spPr>
                </pic:pic>
              </a:graphicData>
            </a:graphic>
            <wp14:sizeRelH relativeFrom="page">
              <wp14:pctWidth>0</wp14:pctWidth>
            </wp14:sizeRelH>
            <wp14:sizeRelV relativeFrom="page">
              <wp14:pctHeight>0</wp14:pctHeight>
            </wp14:sizeRelV>
          </wp:anchor>
        </w:drawing>
      </w:r>
      <w:r w:rsidR="007E7870" w:rsidRPr="00323CF0">
        <w:t xml:space="preserve">That LGBTQ+ individuals are more likely to struggle with their mental health and experience harassment and discrimination in the workplace </w:t>
      </w:r>
      <w:r w:rsidR="00A66AC9">
        <w:t>underscores</w:t>
      </w:r>
      <w:r w:rsidR="007E7870" w:rsidRPr="00323CF0">
        <w:t xml:space="preserve"> the importance of </w:t>
      </w:r>
      <w:r w:rsidR="00A66AC9">
        <w:t>a supportive approach</w:t>
      </w:r>
      <w:r w:rsidR="00127766">
        <w:t xml:space="preserve"> that is</w:t>
      </w:r>
      <w:r w:rsidR="007E7870" w:rsidRPr="00323CF0">
        <w:t xml:space="preserve"> designed with LGBTQ+ employees in mind. </w:t>
      </w:r>
      <w:r w:rsidR="00127766">
        <w:t>A</w:t>
      </w:r>
      <w:r w:rsidR="007E7870" w:rsidRPr="00323CF0">
        <w:t>n inclusive work environment that supports, respects, and protects all employees is a</w:t>
      </w:r>
      <w:r w:rsidR="00127766">
        <w:t xml:space="preserve"> key</w:t>
      </w:r>
      <w:r w:rsidR="007E7870" w:rsidRPr="00323CF0">
        <w:t xml:space="preserve"> component of an LGBTQ+ friendly </w:t>
      </w:r>
      <w:r w:rsidR="00127766">
        <w:t>organizational</w:t>
      </w:r>
      <w:r w:rsidR="007E7870" w:rsidRPr="00323CF0">
        <w:t xml:space="preserve"> culture</w:t>
      </w:r>
      <w:r w:rsidR="00127766">
        <w:t xml:space="preserve">. It </w:t>
      </w:r>
      <w:r w:rsidR="007E7870" w:rsidRPr="00323CF0">
        <w:t>results in improved retention rates, j</w:t>
      </w:r>
      <w:r w:rsidR="007E7870">
        <w:t xml:space="preserve">ob performance and productivity.  Below are some ways workplace leaders can support LGBTQ workers: </w:t>
      </w:r>
    </w:p>
    <w:p w:rsidR="007E7870" w:rsidRDefault="00CB5F2C" w:rsidP="006B756D">
      <w:pPr>
        <w:pStyle w:val="ListParagraph"/>
        <w:numPr>
          <w:ilvl w:val="0"/>
          <w:numId w:val="19"/>
        </w:numPr>
        <w:spacing w:after="160"/>
      </w:pPr>
      <w:r>
        <w:t>Refer</w:t>
      </w:r>
      <w:r w:rsidR="00A05E9B">
        <w:t xml:space="preserve"> to policies that support an inclusive position and that outline expected behaviors of all workers. </w:t>
      </w:r>
      <w:hyperlink r:id="rId14" w:history="1">
        <w:r w:rsidR="007E7870" w:rsidRPr="00003735">
          <w:rPr>
            <w:rStyle w:val="Hyperlink"/>
          </w:rPr>
          <w:t>https://www.hum.wa.gov/employment</w:t>
        </w:r>
      </w:hyperlink>
    </w:p>
    <w:p w:rsidR="007E7870" w:rsidRDefault="00A05E9B" w:rsidP="006B756D">
      <w:pPr>
        <w:pStyle w:val="ListParagraph"/>
        <w:numPr>
          <w:ilvl w:val="0"/>
          <w:numId w:val="19"/>
        </w:numPr>
        <w:spacing w:after="160"/>
      </w:pPr>
      <w:r>
        <w:t>Review and modify policy documents and forms to ensure g</w:t>
      </w:r>
      <w:r w:rsidR="00CB5F2C">
        <w:t>ender neutral-language.</w:t>
      </w:r>
    </w:p>
    <w:p w:rsidR="007E7870" w:rsidRDefault="007E7870" w:rsidP="006B756D">
      <w:pPr>
        <w:pStyle w:val="ListParagraph"/>
        <w:numPr>
          <w:ilvl w:val="0"/>
          <w:numId w:val="19"/>
        </w:numPr>
        <w:spacing w:after="160"/>
      </w:pPr>
      <w:r>
        <w:t>Encourage training</w:t>
      </w:r>
      <w:r w:rsidR="00CB5F2C">
        <w:t xml:space="preserve"> in diversity equity and inclusion (DEI). Workforce </w:t>
      </w:r>
      <w:proofErr w:type="gramStart"/>
      <w:r w:rsidR="00CB5F2C">
        <w:t>Learning</w:t>
      </w:r>
      <w:proofErr w:type="gramEnd"/>
      <w:r w:rsidR="00CB5F2C">
        <w:t xml:space="preserve"> and Performance (WLP) offers many opportunities to build competency in DEI. Some examples are below.</w:t>
      </w:r>
    </w:p>
    <w:p w:rsidR="007E7870" w:rsidRDefault="007E7870" w:rsidP="006B756D">
      <w:pPr>
        <w:pStyle w:val="ListParagraph"/>
        <w:numPr>
          <w:ilvl w:val="1"/>
          <w:numId w:val="19"/>
        </w:numPr>
        <w:spacing w:after="160"/>
      </w:pPr>
      <w:r>
        <w:t xml:space="preserve">Leadership Development – Diversity Management (1 day) - </w:t>
      </w:r>
      <w:hyperlink r:id="rId15" w:history="1">
        <w:r w:rsidRPr="00003735">
          <w:rPr>
            <w:rStyle w:val="Hyperlink"/>
          </w:rPr>
          <w:t>https://des.wa.gov/training/CourseDescription/1643</w:t>
        </w:r>
      </w:hyperlink>
    </w:p>
    <w:p w:rsidR="007E7870" w:rsidRDefault="007E7870" w:rsidP="006B756D">
      <w:pPr>
        <w:pStyle w:val="ListParagraph"/>
        <w:numPr>
          <w:ilvl w:val="1"/>
          <w:numId w:val="19"/>
        </w:numPr>
        <w:spacing w:after="160"/>
      </w:pPr>
      <w:r>
        <w:t xml:space="preserve">Personal Development - Diversity and Inclusion (1/2 Day) - </w:t>
      </w:r>
      <w:hyperlink r:id="rId16" w:history="1">
        <w:r w:rsidRPr="00003735">
          <w:rPr>
            <w:rStyle w:val="Hyperlink"/>
          </w:rPr>
          <w:t>https://des.wa.gov/training/CourseDescription/1986</w:t>
        </w:r>
      </w:hyperlink>
    </w:p>
    <w:p w:rsidR="007E7870" w:rsidRDefault="007E7870" w:rsidP="006B756D">
      <w:pPr>
        <w:pStyle w:val="ListParagraph"/>
        <w:numPr>
          <w:ilvl w:val="1"/>
          <w:numId w:val="19"/>
        </w:numPr>
        <w:spacing w:after="160"/>
      </w:pPr>
      <w:r>
        <w:lastRenderedPageBreak/>
        <w:t xml:space="preserve">Leadership Development - LLPA: Preventing Discrimination, Harassment and Managing Accommodations (1 Day) - </w:t>
      </w:r>
      <w:hyperlink r:id="rId17" w:history="1">
        <w:r w:rsidRPr="00003735">
          <w:rPr>
            <w:rStyle w:val="Hyperlink"/>
          </w:rPr>
          <w:t>https://des.wa.gov/training/CourseDescription/1642</w:t>
        </w:r>
      </w:hyperlink>
    </w:p>
    <w:p w:rsidR="007E7870" w:rsidRDefault="007E7870" w:rsidP="006B756D">
      <w:pPr>
        <w:pStyle w:val="ListParagraph"/>
        <w:numPr>
          <w:ilvl w:val="1"/>
          <w:numId w:val="19"/>
        </w:numPr>
        <w:spacing w:after="160"/>
      </w:pPr>
      <w:r>
        <w:t xml:space="preserve">Risk Management - Sexual Harassment Prevention (1/2 Day) - </w:t>
      </w:r>
      <w:hyperlink r:id="rId18" w:history="1">
        <w:r w:rsidRPr="00003735">
          <w:rPr>
            <w:rStyle w:val="Hyperlink"/>
          </w:rPr>
          <w:t>https://des.wa.gov/training/CourseDescription/1633</w:t>
        </w:r>
      </w:hyperlink>
    </w:p>
    <w:p w:rsidR="007E7870" w:rsidRDefault="00CB5F2C" w:rsidP="006B756D">
      <w:pPr>
        <w:pStyle w:val="ListParagraph"/>
        <w:numPr>
          <w:ilvl w:val="0"/>
          <w:numId w:val="19"/>
        </w:numPr>
        <w:spacing w:after="160"/>
      </w:pPr>
      <w:r>
        <w:t>Support</w:t>
      </w:r>
      <w:r w:rsidR="00240EC4">
        <w:t xml:space="preserve"> the </w:t>
      </w:r>
      <w:hyperlink r:id="rId19" w:history="1">
        <w:r w:rsidRPr="00CB5F2C">
          <w:rPr>
            <w:rStyle w:val="Hyperlink"/>
          </w:rPr>
          <w:t>Rainbow Alliance &amp; Inclusion Network</w:t>
        </w:r>
      </w:hyperlink>
      <w:r>
        <w:t xml:space="preserve"> (RAIN)</w:t>
      </w:r>
      <w:r w:rsidR="00240EC4">
        <w:t>, a</w:t>
      </w:r>
      <w:r w:rsidR="00C9621C">
        <w:t xml:space="preserve"> </w:t>
      </w:r>
      <w:hyperlink r:id="rId20" w:history="1">
        <w:r w:rsidR="00C9621C" w:rsidRPr="00C9621C">
          <w:rPr>
            <w:rStyle w:val="Hyperlink"/>
          </w:rPr>
          <w:t>statewide</w:t>
        </w:r>
        <w:r w:rsidR="00240EC4" w:rsidRPr="00C9621C">
          <w:rPr>
            <w:rStyle w:val="Hyperlink"/>
          </w:rPr>
          <w:t xml:space="preserve"> Business Resource Group</w:t>
        </w:r>
      </w:hyperlink>
      <w:r w:rsidR="00240EC4">
        <w:t xml:space="preserve"> (BRG)</w:t>
      </w:r>
    </w:p>
    <w:p w:rsidR="009111FC" w:rsidRDefault="007E7870" w:rsidP="006B756D">
      <w:pPr>
        <w:pStyle w:val="ListParagraph"/>
        <w:numPr>
          <w:ilvl w:val="0"/>
          <w:numId w:val="19"/>
        </w:numPr>
        <w:spacing w:after="160"/>
      </w:pPr>
      <w:r>
        <w:t xml:space="preserve">Support </w:t>
      </w:r>
      <w:r w:rsidR="0075471C">
        <w:t xml:space="preserve">gender </w:t>
      </w:r>
      <w:r w:rsidR="00C9621C">
        <w:t xml:space="preserve">expression and transition in the workplace. </w:t>
      </w:r>
      <w:r w:rsidR="0075471C">
        <w:t>(see resources below)</w:t>
      </w:r>
    </w:p>
    <w:p w:rsidR="0075471C" w:rsidRPr="009111FC" w:rsidRDefault="00C9621C" w:rsidP="006B756D">
      <w:pPr>
        <w:pStyle w:val="ListParagraph"/>
        <w:numPr>
          <w:ilvl w:val="0"/>
          <w:numId w:val="19"/>
        </w:numPr>
        <w:spacing w:after="160"/>
      </w:pPr>
      <w:r>
        <w:t xml:space="preserve">Encourage employees to seek support and assistance from the EAP.  </w:t>
      </w:r>
      <w:r w:rsidR="00C25212">
        <w:t xml:space="preserve">Supervisors are encouraged to offer the EAP as </w:t>
      </w:r>
      <w:r w:rsidR="008F05F7">
        <w:t xml:space="preserve">a supportive resource. Referral types and the referral process are noted on </w:t>
      </w:r>
      <w:hyperlink r:id="rId21" w:history="1">
        <w:r w:rsidR="008F05F7" w:rsidRPr="008F05F7">
          <w:rPr>
            <w:rStyle w:val="Hyperlink"/>
          </w:rPr>
          <w:t>EAP’s site</w:t>
        </w:r>
      </w:hyperlink>
      <w:r w:rsidR="008F05F7">
        <w:t>.</w:t>
      </w:r>
      <w:bookmarkStart w:id="12" w:name="_Resources"/>
      <w:bookmarkEnd w:id="12"/>
    </w:p>
    <w:p w:rsidR="008D6916" w:rsidRDefault="008D6916" w:rsidP="009D1E8C">
      <w:pPr>
        <w:pStyle w:val="Heading2"/>
      </w:pPr>
      <w:r>
        <w:t>Resources</w:t>
      </w:r>
    </w:p>
    <w:p w:rsidR="00C9621C" w:rsidRDefault="00B01BCF" w:rsidP="009F478B">
      <w:pPr>
        <w:pStyle w:val="ListParagraph"/>
        <w:numPr>
          <w:ilvl w:val="0"/>
          <w:numId w:val="18"/>
        </w:numPr>
        <w:spacing w:after="160"/>
      </w:pPr>
      <w:hyperlink r:id="rId22" w:history="1">
        <w:r w:rsidR="00C9621C" w:rsidRPr="00C9621C">
          <w:rPr>
            <w:rStyle w:val="Hyperlink"/>
          </w:rPr>
          <w:t>Creating a Trans-Inclusive Workplace</w:t>
        </w:r>
      </w:hyperlink>
      <w:r w:rsidR="00C9621C">
        <w:t xml:space="preserve"> (Article) – Harvard Business Review</w:t>
      </w:r>
    </w:p>
    <w:p w:rsidR="009F478B" w:rsidRDefault="00B01BCF" w:rsidP="009F478B">
      <w:pPr>
        <w:pStyle w:val="ListParagraph"/>
        <w:numPr>
          <w:ilvl w:val="0"/>
          <w:numId w:val="18"/>
        </w:numPr>
        <w:spacing w:after="160"/>
      </w:pPr>
      <w:hyperlink r:id="rId23" w:history="1">
        <w:r w:rsidR="009F478B" w:rsidRPr="00CA4D6B">
          <w:rPr>
            <w:rStyle w:val="Hyperlink"/>
          </w:rPr>
          <w:t>Mental Health Disparities</w:t>
        </w:r>
      </w:hyperlink>
      <w:r w:rsidR="009F478B">
        <w:t xml:space="preserve"> (PDF) – American Psychiatric Association</w:t>
      </w:r>
    </w:p>
    <w:p w:rsidR="009F478B" w:rsidRDefault="00B01BCF" w:rsidP="009F478B">
      <w:pPr>
        <w:pStyle w:val="ListParagraph"/>
        <w:numPr>
          <w:ilvl w:val="0"/>
          <w:numId w:val="18"/>
        </w:numPr>
        <w:spacing w:after="160"/>
      </w:pPr>
      <w:hyperlink r:id="rId24" w:history="1">
        <w:r w:rsidR="009F478B" w:rsidRPr="00CA4D6B">
          <w:rPr>
            <w:rStyle w:val="Hyperlink"/>
          </w:rPr>
          <w:t>Why Workplace Mental Health Policies Must Take LGBTQ+ Experiences Into Account</w:t>
        </w:r>
      </w:hyperlink>
      <w:r w:rsidR="009F478B">
        <w:t xml:space="preserve"> (Article) – Forbes</w:t>
      </w:r>
    </w:p>
    <w:p w:rsidR="009F478B" w:rsidRDefault="00B01BCF" w:rsidP="009F478B">
      <w:pPr>
        <w:pStyle w:val="ListParagraph"/>
        <w:numPr>
          <w:ilvl w:val="0"/>
          <w:numId w:val="18"/>
        </w:numPr>
        <w:spacing w:after="160"/>
      </w:pPr>
      <w:hyperlink r:id="rId25" w:history="1">
        <w:r w:rsidR="009F478B" w:rsidRPr="00CA4D6B">
          <w:rPr>
            <w:rStyle w:val="Hyperlink"/>
          </w:rPr>
          <w:t>Workplace Mental Health Resources For Black Professionals, the LGBTQIA+ Community, and Coronavirus</w:t>
        </w:r>
      </w:hyperlink>
      <w:r w:rsidR="009F478B">
        <w:t xml:space="preserve"> (Article and resource links) – Mindshare Partners</w:t>
      </w:r>
    </w:p>
    <w:p w:rsidR="009F478B" w:rsidRDefault="00B01BCF" w:rsidP="009F478B">
      <w:pPr>
        <w:pStyle w:val="ListParagraph"/>
        <w:numPr>
          <w:ilvl w:val="0"/>
          <w:numId w:val="18"/>
        </w:numPr>
        <w:spacing w:after="160"/>
      </w:pPr>
      <w:hyperlink r:id="rId26" w:history="1">
        <w:r w:rsidR="009F478B" w:rsidRPr="00F7297A">
          <w:rPr>
            <w:rStyle w:val="Hyperlink"/>
          </w:rPr>
          <w:t>Guide to Sexual Orientation and Gender Identity and the Washington State Law Against Discrimination</w:t>
        </w:r>
      </w:hyperlink>
      <w:r w:rsidR="009F478B">
        <w:t xml:space="preserve"> (PDF) – Washington State Human Rights Commission</w:t>
      </w:r>
    </w:p>
    <w:p w:rsidR="00694DEE" w:rsidRDefault="00694DEE" w:rsidP="00694DEE">
      <w:pPr>
        <w:pStyle w:val="Heading2"/>
      </w:pPr>
      <w:r>
        <w:t>Supporting the Supervisor</w:t>
      </w:r>
    </w:p>
    <w:p w:rsidR="00694DEE" w:rsidRPr="00694DEE" w:rsidRDefault="00694DEE" w:rsidP="00694DEE">
      <w:r>
        <w:t xml:space="preserve">Supporting employees as they experience and navigate mental health challenges can be </w:t>
      </w:r>
      <w:r w:rsidR="008634E8">
        <w:t>taxing for the employee and the supervisor.  To obtain support, consult and advice, consider contacting the EAP</w:t>
      </w:r>
      <w:r w:rsidR="003F1C94">
        <w:t xml:space="preserve"> at (877) 313 - 4455</w:t>
      </w:r>
      <w:r w:rsidR="008634E8">
        <w:t xml:space="preserve"> and asking for an organizational consult with an EAP Counselor.  </w:t>
      </w:r>
    </w:p>
    <w:sectPr w:rsidR="00694DEE" w:rsidRPr="00694DEE">
      <w:footerReference w:type="default" r:id="rId27"/>
      <w:pgSz w:w="12240" w:h="15840"/>
      <w:pgMar w:top="79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38D" w:rsidRDefault="00AE238D">
      <w:pPr>
        <w:spacing w:after="0" w:line="240" w:lineRule="auto"/>
      </w:pPr>
      <w:r>
        <w:separator/>
      </w:r>
    </w:p>
  </w:endnote>
  <w:endnote w:type="continuationSeparator" w:id="0">
    <w:p w:rsidR="00AE238D" w:rsidRDefault="00AE2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4E8" w:rsidRPr="0075471C" w:rsidRDefault="008634E8" w:rsidP="008634E8">
    <w:pPr>
      <w:pStyle w:val="Footer"/>
      <w:jc w:val="center"/>
      <w:rPr>
        <w:sz w:val="28"/>
        <w:szCs w:val="28"/>
      </w:rPr>
    </w:pPr>
  </w:p>
  <w:p w:rsidR="008634E8" w:rsidRPr="0075471C" w:rsidRDefault="008634E8" w:rsidP="008634E8">
    <w:pPr>
      <w:pStyle w:val="Footer"/>
      <w:jc w:val="center"/>
      <w:rPr>
        <w:sz w:val="28"/>
        <w:szCs w:val="28"/>
      </w:rPr>
    </w:pPr>
    <w:r w:rsidRPr="0075471C">
      <w:rPr>
        <w:sz w:val="28"/>
        <w:szCs w:val="28"/>
      </w:rPr>
      <w:t xml:space="preserve">Washington State EAP | eap.wa.gov | (877) 313 </w:t>
    </w:r>
    <w:r w:rsidR="00F12BFF" w:rsidRPr="0075471C">
      <w:rPr>
        <w:sz w:val="28"/>
        <w:szCs w:val="28"/>
      </w:rPr>
      <w:t>–</w:t>
    </w:r>
    <w:r w:rsidRPr="0075471C">
      <w:rPr>
        <w:sz w:val="28"/>
        <w:szCs w:val="28"/>
      </w:rPr>
      <w:t xml:space="preserve"> 4455</w:t>
    </w:r>
  </w:p>
  <w:p w:rsidR="00F12BFF" w:rsidRPr="0075471C" w:rsidRDefault="0075471C" w:rsidP="008634E8">
    <w:pPr>
      <w:pStyle w:val="Footer"/>
      <w:jc w:val="center"/>
      <w:rPr>
        <w:sz w:val="28"/>
        <w:szCs w:val="28"/>
      </w:rPr>
    </w:pPr>
    <w:r>
      <w:rPr>
        <w:sz w:val="28"/>
        <w:szCs w:val="28"/>
      </w:rPr>
      <w:t>June</w:t>
    </w:r>
    <w:r w:rsidR="00F12BFF" w:rsidRPr="0075471C">
      <w:rPr>
        <w:sz w:val="28"/>
        <w:szCs w:val="28"/>
      </w:rPr>
      <w:t xml:space="preserve"> 2021 EAP Frontline Supervisors Newsletter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38D" w:rsidRDefault="00AE238D">
      <w:pPr>
        <w:spacing w:after="0" w:line="240" w:lineRule="auto"/>
      </w:pPr>
      <w:r>
        <w:separator/>
      </w:r>
    </w:p>
  </w:footnote>
  <w:footnote w:type="continuationSeparator" w:id="0">
    <w:p w:rsidR="00AE238D" w:rsidRDefault="00AE2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DC5"/>
    <w:multiLevelType w:val="hybridMultilevel"/>
    <w:tmpl w:val="77AA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F29C8"/>
    <w:multiLevelType w:val="hybridMultilevel"/>
    <w:tmpl w:val="34F0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B0F22"/>
    <w:multiLevelType w:val="hybridMultilevel"/>
    <w:tmpl w:val="978C4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D6DC3"/>
    <w:multiLevelType w:val="hybridMultilevel"/>
    <w:tmpl w:val="46C09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0418C"/>
    <w:multiLevelType w:val="hybridMultilevel"/>
    <w:tmpl w:val="93F6C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560DF"/>
    <w:multiLevelType w:val="hybridMultilevel"/>
    <w:tmpl w:val="2F7AC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1F0A4A"/>
    <w:multiLevelType w:val="hybridMultilevel"/>
    <w:tmpl w:val="BF34D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F1393"/>
    <w:multiLevelType w:val="hybridMultilevel"/>
    <w:tmpl w:val="5E2AD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F0D33"/>
    <w:multiLevelType w:val="hybridMultilevel"/>
    <w:tmpl w:val="41CC9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70ED9"/>
    <w:multiLevelType w:val="hybridMultilevel"/>
    <w:tmpl w:val="7C1CE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9158A7"/>
    <w:multiLevelType w:val="hybridMultilevel"/>
    <w:tmpl w:val="79DEBF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2160694"/>
    <w:multiLevelType w:val="hybridMultilevel"/>
    <w:tmpl w:val="1B9EE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AE1B75"/>
    <w:multiLevelType w:val="hybridMultilevel"/>
    <w:tmpl w:val="8F38E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F95920"/>
    <w:multiLevelType w:val="hybridMultilevel"/>
    <w:tmpl w:val="B546B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964E1E"/>
    <w:multiLevelType w:val="hybridMultilevel"/>
    <w:tmpl w:val="353E0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7238D2"/>
    <w:multiLevelType w:val="hybridMultilevel"/>
    <w:tmpl w:val="D08C26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A3566C"/>
    <w:multiLevelType w:val="hybridMultilevel"/>
    <w:tmpl w:val="7218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487684"/>
    <w:multiLevelType w:val="hybridMultilevel"/>
    <w:tmpl w:val="D0864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CC348B"/>
    <w:multiLevelType w:val="hybridMultilevel"/>
    <w:tmpl w:val="E61A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2"/>
  </w:num>
  <w:num w:numId="4">
    <w:abstractNumId w:val="11"/>
  </w:num>
  <w:num w:numId="5">
    <w:abstractNumId w:val="3"/>
  </w:num>
  <w:num w:numId="6">
    <w:abstractNumId w:val="9"/>
  </w:num>
  <w:num w:numId="7">
    <w:abstractNumId w:val="7"/>
  </w:num>
  <w:num w:numId="8">
    <w:abstractNumId w:val="16"/>
  </w:num>
  <w:num w:numId="9">
    <w:abstractNumId w:val="12"/>
  </w:num>
  <w:num w:numId="10">
    <w:abstractNumId w:val="6"/>
  </w:num>
  <w:num w:numId="11">
    <w:abstractNumId w:val="8"/>
  </w:num>
  <w:num w:numId="12">
    <w:abstractNumId w:val="5"/>
  </w:num>
  <w:num w:numId="13">
    <w:abstractNumId w:val="17"/>
  </w:num>
  <w:num w:numId="14">
    <w:abstractNumId w:val="14"/>
  </w:num>
  <w:num w:numId="15">
    <w:abstractNumId w:val="0"/>
  </w:num>
  <w:num w:numId="16">
    <w:abstractNumId w:val="1"/>
  </w:num>
  <w:num w:numId="17">
    <w:abstractNumId w:val="15"/>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38D"/>
    <w:rsid w:val="0000349C"/>
    <w:rsid w:val="000212A6"/>
    <w:rsid w:val="0002710F"/>
    <w:rsid w:val="000511E6"/>
    <w:rsid w:val="0006182B"/>
    <w:rsid w:val="000B114F"/>
    <w:rsid w:val="000B52FA"/>
    <w:rsid w:val="001028AC"/>
    <w:rsid w:val="0011564A"/>
    <w:rsid w:val="00121713"/>
    <w:rsid w:val="001235C1"/>
    <w:rsid w:val="00127031"/>
    <w:rsid w:val="00127766"/>
    <w:rsid w:val="00150BC7"/>
    <w:rsid w:val="00152E6F"/>
    <w:rsid w:val="00190F90"/>
    <w:rsid w:val="001C2737"/>
    <w:rsid w:val="001F5B89"/>
    <w:rsid w:val="00210C19"/>
    <w:rsid w:val="00225AAB"/>
    <w:rsid w:val="00226F29"/>
    <w:rsid w:val="00240EC4"/>
    <w:rsid w:val="002631BD"/>
    <w:rsid w:val="0027765F"/>
    <w:rsid w:val="002F7D92"/>
    <w:rsid w:val="00336EF0"/>
    <w:rsid w:val="00392516"/>
    <w:rsid w:val="003A5A85"/>
    <w:rsid w:val="003E286D"/>
    <w:rsid w:val="003F1C94"/>
    <w:rsid w:val="0043234B"/>
    <w:rsid w:val="00442F06"/>
    <w:rsid w:val="00464048"/>
    <w:rsid w:val="00465874"/>
    <w:rsid w:val="00491CEB"/>
    <w:rsid w:val="004A7F68"/>
    <w:rsid w:val="004E1680"/>
    <w:rsid w:val="00517C96"/>
    <w:rsid w:val="005619E5"/>
    <w:rsid w:val="005627FB"/>
    <w:rsid w:val="0056778A"/>
    <w:rsid w:val="00571965"/>
    <w:rsid w:val="00582942"/>
    <w:rsid w:val="005A0D69"/>
    <w:rsid w:val="005A2C74"/>
    <w:rsid w:val="005A4C90"/>
    <w:rsid w:val="005A4D2C"/>
    <w:rsid w:val="005C2892"/>
    <w:rsid w:val="005C53B4"/>
    <w:rsid w:val="005D331B"/>
    <w:rsid w:val="005D60A3"/>
    <w:rsid w:val="005D7F4B"/>
    <w:rsid w:val="00611A01"/>
    <w:rsid w:val="006151F1"/>
    <w:rsid w:val="00632DB7"/>
    <w:rsid w:val="006508F1"/>
    <w:rsid w:val="006743C8"/>
    <w:rsid w:val="00681456"/>
    <w:rsid w:val="00694DEE"/>
    <w:rsid w:val="006B4EE2"/>
    <w:rsid w:val="006B756D"/>
    <w:rsid w:val="006C676F"/>
    <w:rsid w:val="006D6C14"/>
    <w:rsid w:val="006E1794"/>
    <w:rsid w:val="00717B9C"/>
    <w:rsid w:val="00725A8A"/>
    <w:rsid w:val="0073068D"/>
    <w:rsid w:val="007524AD"/>
    <w:rsid w:val="0075471C"/>
    <w:rsid w:val="00776055"/>
    <w:rsid w:val="007810DB"/>
    <w:rsid w:val="007C004B"/>
    <w:rsid w:val="007D4FAD"/>
    <w:rsid w:val="007E25B9"/>
    <w:rsid w:val="007E7870"/>
    <w:rsid w:val="008107C9"/>
    <w:rsid w:val="008425DB"/>
    <w:rsid w:val="00853720"/>
    <w:rsid w:val="008634E8"/>
    <w:rsid w:val="008874F1"/>
    <w:rsid w:val="008956E6"/>
    <w:rsid w:val="008A5AA6"/>
    <w:rsid w:val="008D3D2A"/>
    <w:rsid w:val="008D6916"/>
    <w:rsid w:val="008E59E4"/>
    <w:rsid w:val="008F05F7"/>
    <w:rsid w:val="009028EB"/>
    <w:rsid w:val="009111FC"/>
    <w:rsid w:val="00913A9E"/>
    <w:rsid w:val="009759DF"/>
    <w:rsid w:val="009768D7"/>
    <w:rsid w:val="009C49F3"/>
    <w:rsid w:val="009D1E8C"/>
    <w:rsid w:val="009F478B"/>
    <w:rsid w:val="00A05E9B"/>
    <w:rsid w:val="00A067C7"/>
    <w:rsid w:val="00A200E4"/>
    <w:rsid w:val="00A254F8"/>
    <w:rsid w:val="00A31876"/>
    <w:rsid w:val="00A5717B"/>
    <w:rsid w:val="00A66AC9"/>
    <w:rsid w:val="00A77E8F"/>
    <w:rsid w:val="00A82319"/>
    <w:rsid w:val="00A9474C"/>
    <w:rsid w:val="00AB1E27"/>
    <w:rsid w:val="00AB2192"/>
    <w:rsid w:val="00AC2CA8"/>
    <w:rsid w:val="00AC5DA7"/>
    <w:rsid w:val="00AE238D"/>
    <w:rsid w:val="00B01BCF"/>
    <w:rsid w:val="00B14CC6"/>
    <w:rsid w:val="00B7309F"/>
    <w:rsid w:val="00B8643D"/>
    <w:rsid w:val="00B92E28"/>
    <w:rsid w:val="00BA189C"/>
    <w:rsid w:val="00BE7761"/>
    <w:rsid w:val="00C12675"/>
    <w:rsid w:val="00C25212"/>
    <w:rsid w:val="00C57AA5"/>
    <w:rsid w:val="00C65336"/>
    <w:rsid w:val="00C77DE9"/>
    <w:rsid w:val="00C90DEE"/>
    <w:rsid w:val="00C9621C"/>
    <w:rsid w:val="00CB5F2C"/>
    <w:rsid w:val="00CF5CC6"/>
    <w:rsid w:val="00D1039D"/>
    <w:rsid w:val="00D458DD"/>
    <w:rsid w:val="00D6672D"/>
    <w:rsid w:val="00D7348B"/>
    <w:rsid w:val="00D958CC"/>
    <w:rsid w:val="00DD1E96"/>
    <w:rsid w:val="00DE1238"/>
    <w:rsid w:val="00E04F7C"/>
    <w:rsid w:val="00E20D9A"/>
    <w:rsid w:val="00E303E1"/>
    <w:rsid w:val="00E7050A"/>
    <w:rsid w:val="00E87D7E"/>
    <w:rsid w:val="00E90829"/>
    <w:rsid w:val="00E93852"/>
    <w:rsid w:val="00E95CBC"/>
    <w:rsid w:val="00EA7BD4"/>
    <w:rsid w:val="00EC2012"/>
    <w:rsid w:val="00EE2A44"/>
    <w:rsid w:val="00EE54B4"/>
    <w:rsid w:val="00F03B75"/>
    <w:rsid w:val="00F12BFF"/>
    <w:rsid w:val="00F43AD1"/>
    <w:rsid w:val="00F60EC7"/>
    <w:rsid w:val="00F7685D"/>
    <w:rsid w:val="00FA0281"/>
    <w:rsid w:val="00FC1273"/>
    <w:rsid w:val="00FC7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5:chartTrackingRefBased/>
  <w15:docId w15:val="{CC82AAAC-AFAC-45F8-9975-AB0ABA2F1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09F"/>
    <w:pPr>
      <w:spacing w:after="120" w:line="259" w:lineRule="auto"/>
    </w:pPr>
    <w:rPr>
      <w:rFonts w:ascii="Calibri" w:hAnsi="Calibri"/>
      <w:sz w:val="24"/>
    </w:rPr>
  </w:style>
  <w:style w:type="paragraph" w:styleId="Heading1">
    <w:name w:val="heading 1"/>
    <w:basedOn w:val="Normal"/>
    <w:next w:val="Normal"/>
    <w:link w:val="Heading1Char"/>
    <w:uiPriority w:val="3"/>
    <w:qFormat/>
    <w:rsid w:val="008874F1"/>
    <w:pPr>
      <w:keepNext/>
      <w:keepLines/>
      <w:spacing w:before="360" w:after="140"/>
      <w:outlineLvl w:val="0"/>
    </w:pPr>
    <w:rPr>
      <w:rFonts w:ascii="Century Gothic" w:eastAsiaTheme="majorEastAsia" w:hAnsi="Century Gothic" w:cstheme="majorBidi"/>
      <w:b/>
      <w:bCs/>
      <w:color w:val="F79646" w:themeColor="accent6"/>
      <w:sz w:val="28"/>
    </w:rPr>
  </w:style>
  <w:style w:type="paragraph" w:styleId="Heading2">
    <w:name w:val="heading 2"/>
    <w:basedOn w:val="Normal"/>
    <w:next w:val="Normal"/>
    <w:link w:val="Heading2Char"/>
    <w:uiPriority w:val="3"/>
    <w:unhideWhenUsed/>
    <w:qFormat/>
    <w:rsid w:val="008874F1"/>
    <w:pPr>
      <w:keepNext/>
      <w:keepLines/>
      <w:spacing w:before="120" w:line="240" w:lineRule="auto"/>
      <w:outlineLvl w:val="1"/>
    </w:pPr>
    <w:rPr>
      <w:rFonts w:ascii="Century Gothic" w:eastAsiaTheme="majorEastAsia" w:hAnsi="Century Gothic" w:cstheme="majorBidi"/>
      <w:b/>
      <w:color w:val="F79646" w:themeColor="accent6"/>
      <w:sz w:val="28"/>
    </w:rPr>
  </w:style>
  <w:style w:type="paragraph" w:styleId="Heading3">
    <w:name w:val="heading 3"/>
    <w:basedOn w:val="Normal"/>
    <w:next w:val="Normal"/>
    <w:link w:val="Heading3Char"/>
    <w:uiPriority w:val="3"/>
    <w:unhideWhenUsed/>
    <w:qFormat/>
    <w:rsid w:val="009028EB"/>
    <w:pPr>
      <w:keepNext/>
      <w:keepLines/>
      <w:spacing w:before="120"/>
      <w:outlineLvl w:val="2"/>
    </w:pPr>
    <w:rPr>
      <w:rFonts w:ascii="Century Gothic" w:hAnsi="Century Gothic"/>
      <w:b/>
      <w:bCs/>
      <w:color w:val="0070C0"/>
    </w:rPr>
  </w:style>
  <w:style w:type="paragraph" w:styleId="Heading4">
    <w:name w:val="heading 4"/>
    <w:basedOn w:val="Normal"/>
    <w:next w:val="Normal"/>
    <w:link w:val="Heading4Char"/>
    <w:uiPriority w:val="3"/>
    <w:unhideWhenUsed/>
    <w:qFormat/>
    <w:rsid w:val="00152E6F"/>
    <w:pPr>
      <w:keepNext/>
      <w:keepLines/>
      <w:spacing w:before="120"/>
      <w:outlineLvl w:val="3"/>
    </w:pPr>
    <w:rPr>
      <w:rFonts w:ascii="Century Gothic" w:eastAsiaTheme="majorEastAsia" w:hAnsi="Century Gothic" w:cstheme="majorBidi"/>
      <w:color w:val="0070C0"/>
      <w:sz w:val="2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link w:val="SubtitleChar"/>
    <w:uiPriority w:val="2"/>
    <w:qFormat/>
    <w:pPr>
      <w:numPr>
        <w:ilvl w:val="1"/>
      </w:numPr>
      <w:spacing w:before="240" w:after="600" w:line="240" w:lineRule="auto"/>
    </w:pPr>
    <w:rPr>
      <w:rFonts w:asciiTheme="majorHAnsi" w:eastAsiaTheme="majorEastAsia" w:hAnsiTheme="majorHAnsi" w:cstheme="majorBidi"/>
      <w:color w:val="5A5A5A" w:themeColor="text1" w:themeTint="A5"/>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sid w:val="008874F1"/>
    <w:rPr>
      <w:rFonts w:ascii="Century Gothic" w:eastAsiaTheme="majorEastAsia" w:hAnsi="Century Gothic" w:cstheme="majorBidi"/>
      <w:b/>
      <w:bCs/>
      <w:color w:val="F79646" w:themeColor="accent6"/>
      <w:sz w:val="28"/>
    </w:rPr>
  </w:style>
  <w:style w:type="paragraph" w:customStyle="1" w:styleId="BlockHeading">
    <w:name w:val="Block Heading"/>
    <w:basedOn w:val="Normal"/>
    <w:next w:val="BlockText"/>
    <w:uiPriority w:val="3"/>
    <w:qFormat/>
    <w:rsid w:val="00717B9C"/>
    <w:pPr>
      <w:spacing w:after="180" w:line="216" w:lineRule="auto"/>
      <w:ind w:left="288" w:right="288"/>
    </w:pPr>
    <w:rPr>
      <w:rFonts w:ascii="Century Gothic" w:eastAsiaTheme="majorEastAsia" w:hAnsi="Century Gothic" w:cstheme="majorBidi"/>
      <w:b/>
      <w:bCs/>
      <w:color w:val="FFFFFF" w:themeColor="background1"/>
      <w:sz w:val="28"/>
    </w:rPr>
  </w:style>
  <w:style w:type="paragraph" w:styleId="Caption">
    <w:name w:val="caption"/>
    <w:basedOn w:val="Normal"/>
    <w:next w:val="Normal"/>
    <w:uiPriority w:val="3"/>
    <w:unhideWhenUsed/>
    <w:pPr>
      <w:spacing w:before="120" w:after="0" w:line="240" w:lineRule="auto"/>
    </w:pPr>
    <w:rPr>
      <w:i/>
      <w:iCs/>
      <w:color w:val="595959" w:themeColor="text1" w:themeTint="A6"/>
      <w:sz w:val="18"/>
    </w:rPr>
  </w:style>
  <w:style w:type="paragraph" w:styleId="BlockText">
    <w:name w:val="Block Text"/>
    <w:basedOn w:val="Normal"/>
    <w:uiPriority w:val="3"/>
    <w:unhideWhenUsed/>
    <w:qFormat/>
    <w:rsid w:val="008874F1"/>
    <w:pPr>
      <w:spacing w:after="180" w:line="312" w:lineRule="auto"/>
      <w:ind w:left="288" w:right="288"/>
    </w:pPr>
    <w:rPr>
      <w:color w:val="FFFFFF" w:themeColor="background1"/>
    </w:rPr>
  </w:style>
  <w:style w:type="character" w:customStyle="1" w:styleId="Heading2Char">
    <w:name w:val="Heading 2 Char"/>
    <w:basedOn w:val="DefaultParagraphFont"/>
    <w:link w:val="Heading2"/>
    <w:uiPriority w:val="3"/>
    <w:rsid w:val="008874F1"/>
    <w:rPr>
      <w:rFonts w:ascii="Century Gothic" w:eastAsiaTheme="majorEastAsia" w:hAnsi="Century Gothic" w:cstheme="majorBidi"/>
      <w:b/>
      <w:color w:val="F79646" w:themeColor="accent6"/>
      <w:sz w:val="28"/>
    </w:rPr>
  </w:style>
  <w:style w:type="character" w:customStyle="1" w:styleId="Heading3Char">
    <w:name w:val="Heading 3 Char"/>
    <w:basedOn w:val="DefaultParagraphFont"/>
    <w:link w:val="Heading3"/>
    <w:uiPriority w:val="3"/>
    <w:rsid w:val="009028EB"/>
    <w:rPr>
      <w:rFonts w:ascii="Century Gothic" w:hAnsi="Century Gothic"/>
      <w:b/>
      <w:bCs/>
      <w:color w:val="0070C0"/>
      <w:sz w:val="24"/>
    </w:rPr>
  </w:style>
  <w:style w:type="paragraph" w:styleId="Quote">
    <w:name w:val="Quote"/>
    <w:basedOn w:val="Normal"/>
    <w:next w:val="Normal"/>
    <w:link w:val="QuoteChar"/>
    <w:uiPriority w:val="3"/>
    <w:qFormat/>
    <w:pPr>
      <w:pBdr>
        <w:top w:val="single" w:sz="6" w:space="4" w:color="365F91" w:themeColor="accent1" w:themeShade="BF"/>
        <w:bottom w:val="single" w:sz="6" w:space="4" w:color="365F91" w:themeColor="accent1" w:themeShade="BF"/>
      </w:pBdr>
      <w:spacing w:before="200"/>
      <w:ind w:left="864" w:right="864"/>
      <w:jc w:val="center"/>
    </w:pPr>
    <w:rPr>
      <w:i/>
      <w:iCs/>
      <w:sz w:val="28"/>
    </w:rPr>
  </w:style>
  <w:style w:type="character" w:customStyle="1" w:styleId="QuoteChar">
    <w:name w:val="Quote Char"/>
    <w:basedOn w:val="DefaultParagraphFont"/>
    <w:link w:val="Quote"/>
    <w:uiPriority w:val="3"/>
    <w:rPr>
      <w:i/>
      <w:iCs/>
      <w:sz w:val="28"/>
    </w:rPr>
  </w:style>
  <w:style w:type="character" w:customStyle="1" w:styleId="Heading4Char">
    <w:name w:val="Heading 4 Char"/>
    <w:basedOn w:val="DefaultParagraphFont"/>
    <w:link w:val="Heading4"/>
    <w:uiPriority w:val="3"/>
    <w:rsid w:val="00152E6F"/>
    <w:rPr>
      <w:rFonts w:ascii="Century Gothic" w:eastAsiaTheme="majorEastAsia" w:hAnsi="Century Gothic" w:cstheme="majorBidi"/>
      <w:color w:val="0070C0"/>
      <w:sz w:val="22"/>
    </w:rPr>
  </w:style>
  <w:style w:type="paragraph" w:customStyle="1" w:styleId="ContactInfo">
    <w:name w:val="Contact Info"/>
    <w:basedOn w:val="Normal"/>
    <w:uiPriority w:val="5"/>
    <w:qFormat/>
    <w:pPr>
      <w:spacing w:after="0"/>
    </w:pPr>
  </w:style>
  <w:style w:type="paragraph" w:customStyle="1" w:styleId="ContactHeading">
    <w:name w:val="Contact Heading"/>
    <w:basedOn w:val="Normal"/>
    <w:uiPriority w:val="4"/>
    <w:qFormat/>
    <w:pPr>
      <w:spacing w:before="320" w:line="240" w:lineRule="auto"/>
    </w:pPr>
    <w:rPr>
      <w:rFonts w:asciiTheme="majorHAnsi" w:eastAsiaTheme="majorEastAsia" w:hAnsiTheme="majorHAnsi" w:cstheme="majorBidi"/>
      <w:color w:val="365F91" w:themeColor="accent1" w:themeShade="BF"/>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semiHidden/>
    <w:unhideWhenUsed/>
    <w:pPr>
      <w:spacing w:after="160" w:line="240" w:lineRule="auto"/>
    </w:pPr>
    <w:rPr>
      <w:color w:val="auto"/>
      <w:kern w:val="0"/>
      <w:lang w:eastAsia="en-US"/>
      <w14:ligatures w14:val="none"/>
    </w:rPr>
  </w:style>
  <w:style w:type="character" w:customStyle="1" w:styleId="CommentTextChar">
    <w:name w:val="Comment Text Char"/>
    <w:basedOn w:val="DefaultParagraphFont"/>
    <w:link w:val="CommentText"/>
    <w:uiPriority w:val="99"/>
    <w:semiHidden/>
    <w:rPr>
      <w:color w:val="auto"/>
      <w:kern w:val="0"/>
      <w:lang w:eastAsia="en-US"/>
      <w14:ligatures w14:val="none"/>
    </w:rPr>
  </w:style>
  <w:style w:type="paragraph" w:customStyle="1" w:styleId="Organization">
    <w:name w:val="Organization"/>
    <w:basedOn w:val="Normal"/>
    <w:uiPriority w:val="7"/>
    <w:qFormat/>
    <w:pPr>
      <w:spacing w:after="0"/>
    </w:pPr>
    <w:rPr>
      <w:rFonts w:asciiTheme="majorHAnsi" w:eastAsiaTheme="majorEastAsia" w:hAnsiTheme="majorHAnsi" w:cstheme="majorBidi"/>
      <w:b/>
      <w:bCs/>
      <w:caps/>
      <w:color w:val="365F91" w:themeColor="accent1" w:themeShade="BF"/>
      <w:sz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Pr>
      <w:i/>
      <w:iCs/>
      <w:color w:val="365F91" w:themeColor="accent1" w:themeShade="BF"/>
    </w:rPr>
  </w:style>
  <w:style w:type="paragraph" w:styleId="IntenseQuote">
    <w:name w:val="Intense Quote"/>
    <w:basedOn w:val="Normal"/>
    <w:next w:val="Normal"/>
    <w:link w:val="IntenseQuoteChar"/>
    <w:uiPriority w:val="30"/>
    <w:semiHidden/>
    <w:unhideWhenUsed/>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Pr>
      <w:i/>
      <w:iCs/>
      <w:color w:val="365F91" w:themeColor="accent1" w:themeShade="BF"/>
    </w:rPr>
  </w:style>
  <w:style w:type="character" w:styleId="IntenseReference">
    <w:name w:val="Intense Reference"/>
    <w:basedOn w:val="DefaultParagraphFont"/>
    <w:uiPriority w:val="32"/>
    <w:semiHidden/>
    <w:unhideWhenUsed/>
    <w:qFormat/>
    <w:rPr>
      <w:b/>
      <w:bCs/>
      <w:caps w:val="0"/>
      <w:smallCaps/>
      <w:color w:val="365F91" w:themeColor="accent1" w:themeShade="BF"/>
      <w:spacing w:val="5"/>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qFormat/>
    <w:pPr>
      <w:spacing w:after="0"/>
    </w:pPr>
    <w:rPr>
      <w:b/>
      <w:noProof/>
    </w:rPr>
  </w:style>
  <w:style w:type="paragraph" w:styleId="ListParagraph">
    <w:name w:val="List Paragraph"/>
    <w:basedOn w:val="Normal"/>
    <w:uiPriority w:val="34"/>
    <w:unhideWhenUsed/>
    <w:qFormat/>
    <w:rsid w:val="00152E6F"/>
    <w:pPr>
      <w:ind w:left="720"/>
      <w:contextualSpacing/>
    </w:pPr>
  </w:style>
  <w:style w:type="character" w:styleId="Hyperlink">
    <w:name w:val="Hyperlink"/>
    <w:basedOn w:val="DefaultParagraphFont"/>
    <w:uiPriority w:val="99"/>
    <w:unhideWhenUsed/>
    <w:rsid w:val="00B7309F"/>
    <w:rPr>
      <w:color w:val="0000FF" w:themeColor="hyperlink"/>
      <w:u w:val="single"/>
    </w:rPr>
  </w:style>
  <w:style w:type="character" w:styleId="FollowedHyperlink">
    <w:name w:val="FollowedHyperlink"/>
    <w:basedOn w:val="DefaultParagraphFont"/>
    <w:uiPriority w:val="99"/>
    <w:semiHidden/>
    <w:unhideWhenUsed/>
    <w:rsid w:val="00E20D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9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hyperlink" Target="https://des.wa.gov/training/CourseDescription/1633" TargetMode="External"/><Relationship Id="rId26" Type="http://schemas.openxmlformats.org/officeDocument/2006/relationships/hyperlink" Target="https://www.hum.wa.gov/sites/default/files/public/publications/Updated%20SO%20GI%20Guide.pdf" TargetMode="External"/><Relationship Id="rId3" Type="http://schemas.openxmlformats.org/officeDocument/2006/relationships/styles" Target="styles.xml"/><Relationship Id="rId21" Type="http://schemas.openxmlformats.org/officeDocument/2006/relationships/hyperlink" Target="https://des.wa.gov/services/hr-finance/washington-state-employee-assistance-program-eap/services-supervisors-hr-professionals/how-do-i-refer-employees-eap" TargetMode="External"/><Relationship Id="rId7" Type="http://schemas.openxmlformats.org/officeDocument/2006/relationships/endnotes" Target="endnotes.xml"/><Relationship Id="rId12" Type="http://schemas.openxmlformats.org/officeDocument/2006/relationships/hyperlink" Target="https://des.wa.gov/sites/default/files/public/documents/More%20DOP%20Services/EAP/Frontline%20Employee%20Newsletters/2021/June%202021%20Employee%20Frontline.docx?=36fdd" TargetMode="External"/><Relationship Id="rId17" Type="http://schemas.openxmlformats.org/officeDocument/2006/relationships/hyperlink" Target="https://des.wa.gov/training/CourseDescription/1642" TargetMode="External"/><Relationship Id="rId25" Type="http://schemas.openxmlformats.org/officeDocument/2006/relationships/hyperlink" Target="https://www.mindsharepartners.org/post/resources-for-workplace-mental-health-coronavirus-black-employees-and-the-lgbtq-community" TargetMode="External"/><Relationship Id="rId2" Type="http://schemas.openxmlformats.org/officeDocument/2006/relationships/numbering" Target="numbering.xml"/><Relationship Id="rId16" Type="http://schemas.openxmlformats.org/officeDocument/2006/relationships/hyperlink" Target="https://des.wa.gov/training/CourseDescription/1986" TargetMode="External"/><Relationship Id="rId20" Type="http://schemas.openxmlformats.org/officeDocument/2006/relationships/hyperlink" Target="https://ofm.wa.gov/state-human-resources/workforce-diversity-equity-and-inclusion/statewide-business-resource-grou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yperlink" Target="https://www.forbes.com/sites/onemind/2019/06/17/why-workplace-mental-health-policies-must-take-lgbtq-experiences-into-account/?sh=395a0ea75c15" TargetMode="External"/><Relationship Id="rId5" Type="http://schemas.openxmlformats.org/officeDocument/2006/relationships/webSettings" Target="webSettings.xml"/><Relationship Id="rId15" Type="http://schemas.openxmlformats.org/officeDocument/2006/relationships/hyperlink" Target="https://des.wa.gov/training/CourseDescription/1643" TargetMode="External"/><Relationship Id="rId23" Type="http://schemas.openxmlformats.org/officeDocument/2006/relationships/hyperlink" Target="https://www.psychiatry.org/File%20Library/Psychiatrists/Cultural-Competency/Mental-Health-Disparities/Mental-Health-Facts-for-LGBTQ.pdf" TargetMode="External"/><Relationship Id="rId28" Type="http://schemas.openxmlformats.org/officeDocument/2006/relationships/fontTable" Target="fontTable.xml"/><Relationship Id="rId10" Type="http://schemas.openxmlformats.org/officeDocument/2006/relationships/hyperlink" Target="https://des.wa.gov/sites/default/files/public/documents/More%20DOP%20Services/EAP/Frontline%20Employee%20Newsletters/2021/June%202021%20Employee%20Frontline.docx?=36fdd" TargetMode="External"/><Relationship Id="rId19" Type="http://schemas.openxmlformats.org/officeDocument/2006/relationships/hyperlink" Target="https://lgbtq.wa.gov/rain"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hum.wa.gov/employment" TargetMode="External"/><Relationship Id="rId22" Type="http://schemas.openxmlformats.org/officeDocument/2006/relationships/hyperlink" Target="https://hbr.org/2020/03/creating-a-trans-inclusive-workplace"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rowb179\AppData\Roaming\Microsoft\Templates\Company%20Newsletter.dotx"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Company Newsletter</Template>
  <TotalTime>1</TotalTime>
  <Pages>3</Pages>
  <Words>1067</Words>
  <Characters>6085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Brown, Darrow (DES)</dc:creator>
  <cp:keywords/>
  <cp:lastModifiedBy>Helsley, Colin (DES)</cp:lastModifiedBy>
  <cp:revision>2</cp:revision>
  <cp:lastPrinted>2012-08-02T20:18:00Z</cp:lastPrinted>
  <dcterms:created xsi:type="dcterms:W3CDTF">2021-05-28T18:10:00Z</dcterms:created>
  <dcterms:modified xsi:type="dcterms:W3CDTF">2021-05-28T18:10:00Z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