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9" w:rsidRDefault="00AE238D" w:rsidP="00AE238D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>
            <wp:extent cx="5242560" cy="1485900"/>
            <wp:effectExtent l="0" t="0" r="0" b="0"/>
            <wp:docPr id="3" name="Picture 3" descr="Frontline supervisor Banner" title="Frontline Super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19" w:rsidRPr="00B92E28" w:rsidRDefault="001028AC" w:rsidP="001028AC">
      <w:pPr>
        <w:pStyle w:val="Quote"/>
        <w:rPr>
          <w:rFonts w:ascii="Sitka Text" w:hAnsi="Sitka Text"/>
          <w:szCs w:val="28"/>
        </w:rPr>
      </w:pPr>
      <w:r w:rsidRPr="00B92E28">
        <w:rPr>
          <w:rFonts w:ascii="Sitka Text" w:hAnsi="Sitka Text"/>
          <w:szCs w:val="28"/>
        </w:rPr>
        <w:t>Barn’s burnt down — now I can see the moon. - Mizuta Masahide</w:t>
      </w:r>
    </w:p>
    <w:p w:rsidR="00A82319" w:rsidRDefault="00A9474C" w:rsidP="008874F1">
      <w:pPr>
        <w:pStyle w:val="Heading2"/>
      </w:pPr>
      <w:bookmarkStart w:id="0" w:name="_Engaging_in_Race"/>
      <w:bookmarkEnd w:id="0"/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153670</wp:posOffset>
                </wp:positionV>
                <wp:extent cx="2095500" cy="4541520"/>
                <wp:effectExtent l="0" t="0" r="0" b="11430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54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shd w:val="clear" w:color="auto" w:fill="1F497D" w:themeFill="text2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1F5B89">
                              <w:trPr>
                                <w:trHeight w:hRule="exact" w:val="7048"/>
                              </w:trPr>
                              <w:tc>
                                <w:tcPr>
                                  <w:tcW w:w="3518" w:type="dxa"/>
                                  <w:shd w:val="clear" w:color="auto" w:fill="1F497D" w:themeFill="text2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82319" w:rsidRDefault="00717B9C">
                                  <w:pPr>
                                    <w:pStyle w:val="BlockHeading"/>
                                  </w:pPr>
                                  <w:r>
                                    <w:t>In this month’s n</w:t>
                                  </w:r>
                                  <w:r w:rsidR="00AE238D">
                                    <w:t>ewsletter:</w:t>
                                  </w:r>
                                </w:p>
                                <w:p w:rsidR="00AE238D" w:rsidRPr="00A9474C" w:rsidRDefault="001F5B89" w:rsidP="00AE238D">
                                  <w:pPr>
                                    <w:pStyle w:val="BlockText"/>
                                  </w:pPr>
                                  <w:hyperlink w:anchor="_Engaging_in_Race" w:history="1">
                                    <w:r w:rsidR="00AE238D" w:rsidRPr="00A9474C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 xml:space="preserve">Engaging in </w:t>
                                    </w:r>
                                    <w:r w:rsidR="008874F1" w:rsidRPr="00A9474C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Race Discussions</w:t>
                                    </w:r>
                                  </w:hyperlink>
                                </w:p>
                                <w:p w:rsidR="00AE238D" w:rsidRPr="00A9474C" w:rsidRDefault="001F5B89" w:rsidP="00AE238D">
                                  <w:pPr>
                                    <w:pStyle w:val="BlockText"/>
                                  </w:pPr>
                                  <w:hyperlink w:anchor="_Critical_Incident_Response" w:history="1">
                                    <w:r w:rsidR="00AE238D" w:rsidRPr="00A9474C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Critical Incident Response</w:t>
                                    </w:r>
                                  </w:hyperlink>
                                </w:p>
                                <w:p w:rsidR="00A82319" w:rsidRDefault="001F5B89" w:rsidP="00AE238D">
                                  <w:pPr>
                                    <w:pStyle w:val="BlockText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hyperlink w:anchor="_EAP_Live_and" w:history="1">
                                    <w:r w:rsidR="00AE238D" w:rsidRPr="00A9474C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EAP Live and On-Demand Webinars</w:t>
                                    </w:r>
                                  </w:hyperlink>
                                </w:p>
                                <w:p w:rsidR="0000349C" w:rsidRDefault="0000349C" w:rsidP="00717B9C">
                                  <w:pPr>
                                    <w:pStyle w:val="BlockHeading"/>
                                  </w:pPr>
                                </w:p>
                                <w:p w:rsidR="00717B9C" w:rsidRDefault="00717B9C" w:rsidP="00717B9C">
                                  <w:pPr>
                                    <w:pStyle w:val="BlockHeading"/>
                                  </w:pPr>
                                  <w:bookmarkStart w:id="1" w:name="_GoBack"/>
                                  <w:r>
                                    <w:t>Contact EAP</w:t>
                                  </w:r>
                                </w:p>
                                <w:p w:rsidR="00717B9C" w:rsidRPr="0000349C" w:rsidRDefault="0000349C" w:rsidP="004A7F68">
                                  <w:pPr>
                                    <w:spacing w:after="0"/>
                                    <w:ind w:left="288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begin"/>
                                  </w: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instrText xml:space="preserve"> HYPERLINK "https://des.wa.gov/services/hr-finance/washington-state-employee-assistance-program-eap/webinars" </w:instrText>
                                  </w: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separate"/>
                                  </w:r>
                                  <w:r w:rsidR="00717B9C" w:rsidRPr="0000349C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eap.wa.gov</w:t>
                                  </w:r>
                                </w:p>
                                <w:p w:rsidR="00717B9C" w:rsidRPr="00717B9C" w:rsidRDefault="000034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  <w:r w:rsidR="004A7F68">
                                    <w:rPr>
                                      <w:color w:val="FFFFFF" w:themeColor="background1"/>
                                    </w:rPr>
                                    <w:t xml:space="preserve">Toll </w:t>
                                  </w:r>
                                  <w:r w:rsidR="00717B9C" w:rsidRPr="00717B9C">
                                    <w:rPr>
                                      <w:color w:val="FFFFFF" w:themeColor="background1"/>
                                    </w:rPr>
                                    <w:t>free: (877) 313-4455</w:t>
                                  </w:r>
                                </w:p>
                                <w:p w:rsidR="00717B9C" w:rsidRPr="00717B9C" w:rsidRDefault="00717B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>Ph</w:t>
                                  </w:r>
                                  <w:r w:rsidR="004A7F68">
                                    <w:rPr>
                                      <w:color w:val="FFFFFF" w:themeColor="background1"/>
                                    </w:rPr>
                                    <w:t>one</w:t>
                                  </w: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>: (360) 407-9490</w:t>
                                  </w:r>
                                </w:p>
                                <w:p w:rsidR="00717B9C" w:rsidRPr="00717B9C" w:rsidRDefault="00717B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 xml:space="preserve">Interpreters available. </w:t>
                                  </w:r>
                                </w:p>
                                <w:p w:rsidR="00717B9C" w:rsidRPr="00717B9C" w:rsidRDefault="0000349C" w:rsidP="0000349C">
                                  <w:pPr>
                                    <w:pStyle w:val="BlockText"/>
                                    <w:spacing w:after="0"/>
                                  </w:pPr>
                                  <w:r>
                                    <w:t xml:space="preserve">TTY:  </w:t>
                                  </w:r>
                                  <w:r w:rsidR="00717B9C" w:rsidRPr="00717B9C">
                                    <w:t xml:space="preserve">call </w:t>
                                  </w:r>
                                  <w:r>
                                    <w:t xml:space="preserve">711 </w:t>
                                  </w:r>
                                  <w:r w:rsidR="00717B9C" w:rsidRPr="00717B9C">
                                    <w:t xml:space="preserve">via WA </w:t>
                                  </w:r>
                                  <w:r>
                                    <w:t xml:space="preserve">Relay 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12.1pt;width:165pt;height:357.6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" o:allowoverlap="f" filled="f" stroked="f" strokeweight=".5pt">
                <v:textbox inset="0,0,0,0">
                  <w:txbxContent>
                    <w:tbl>
                      <w:tblPr>
                        <w:tblW w:w="35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shd w:val="clear" w:color="auto" w:fill="1F497D" w:themeFill="text2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1F5B89">
                        <w:trPr>
                          <w:trHeight w:hRule="exact" w:val="7048"/>
                        </w:trPr>
                        <w:tc>
                          <w:tcPr>
                            <w:tcW w:w="3518" w:type="dxa"/>
                            <w:shd w:val="clear" w:color="auto" w:fill="1F497D" w:themeFill="text2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82319" w:rsidRDefault="00717B9C">
                            <w:pPr>
                              <w:pStyle w:val="BlockHeading"/>
                            </w:pPr>
                            <w:r>
                              <w:t>In this month’s n</w:t>
                            </w:r>
                            <w:r w:rsidR="00AE238D">
                              <w:t>ewsletter:</w:t>
                            </w:r>
                          </w:p>
                          <w:p w:rsidR="00AE238D" w:rsidRPr="00A9474C" w:rsidRDefault="001F5B89" w:rsidP="00AE238D">
                            <w:pPr>
                              <w:pStyle w:val="BlockText"/>
                            </w:pPr>
                            <w:hyperlink w:anchor="_Engaging_in_Race" w:history="1">
                              <w:r w:rsidR="00AE238D" w:rsidRPr="00A9474C">
                                <w:rPr>
                                  <w:rStyle w:val="Hyperlink"/>
                                  <w:color w:val="FFFFFF" w:themeColor="background1"/>
                                </w:rPr>
                                <w:t xml:space="preserve">Engaging in </w:t>
                              </w:r>
                              <w:r w:rsidR="008874F1" w:rsidRPr="00A9474C">
                                <w:rPr>
                                  <w:rStyle w:val="Hyperlink"/>
                                  <w:color w:val="FFFFFF" w:themeColor="background1"/>
                                </w:rPr>
                                <w:t>Race Discussions</w:t>
                              </w:r>
                            </w:hyperlink>
                          </w:p>
                          <w:p w:rsidR="00AE238D" w:rsidRPr="00A9474C" w:rsidRDefault="001F5B89" w:rsidP="00AE238D">
                            <w:pPr>
                              <w:pStyle w:val="BlockText"/>
                            </w:pPr>
                            <w:hyperlink w:anchor="_Critical_Incident_Response" w:history="1">
                              <w:r w:rsidR="00AE238D" w:rsidRPr="00A9474C">
                                <w:rPr>
                                  <w:rStyle w:val="Hyperlink"/>
                                  <w:color w:val="FFFFFF" w:themeColor="background1"/>
                                </w:rPr>
                                <w:t>Critical Incident Response</w:t>
                              </w:r>
                            </w:hyperlink>
                          </w:p>
                          <w:p w:rsidR="00A82319" w:rsidRDefault="001F5B89" w:rsidP="00AE238D">
                            <w:pPr>
                              <w:pStyle w:val="BlockText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hyperlink w:anchor="_EAP_Live_and" w:history="1">
                              <w:r w:rsidR="00AE238D" w:rsidRPr="00A9474C">
                                <w:rPr>
                                  <w:rStyle w:val="Hyperlink"/>
                                  <w:color w:val="FFFFFF" w:themeColor="background1"/>
                                </w:rPr>
                                <w:t>EAP Live and On-Demand Webinars</w:t>
                              </w:r>
                            </w:hyperlink>
                          </w:p>
                          <w:p w:rsidR="0000349C" w:rsidRDefault="0000349C" w:rsidP="00717B9C">
                            <w:pPr>
                              <w:pStyle w:val="BlockHeading"/>
                            </w:pPr>
                          </w:p>
                          <w:p w:rsidR="00717B9C" w:rsidRDefault="00717B9C" w:rsidP="00717B9C">
                            <w:pPr>
                              <w:pStyle w:val="BlockHeading"/>
                            </w:pPr>
                            <w:bookmarkStart w:id="2" w:name="_GoBack"/>
                            <w:r>
                              <w:t>Contact EAP</w:t>
                            </w:r>
                          </w:p>
                          <w:p w:rsidR="00717B9C" w:rsidRPr="0000349C" w:rsidRDefault="0000349C" w:rsidP="004A7F68">
                            <w:pPr>
                              <w:spacing w:after="0"/>
                              <w:ind w:left="288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r w:rsidRPr="0000349C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00349C">
                              <w:rPr>
                                <w:color w:val="FFFFFF" w:themeColor="background1"/>
                              </w:rPr>
                              <w:instrText xml:space="preserve"> HYPERLINK "https://des.wa.gov/services/hr-finance/washington-state-employee-assistance-program-eap/webinars" </w:instrText>
                            </w:r>
                            <w:r w:rsidRPr="0000349C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717B9C" w:rsidRPr="0000349C">
                              <w:rPr>
                                <w:rStyle w:val="Hyperlink"/>
                                <w:color w:val="FFFFFF" w:themeColor="background1"/>
                              </w:rPr>
                              <w:t>eap.wa.gov</w:t>
                            </w:r>
                          </w:p>
                          <w:p w:rsidR="00717B9C" w:rsidRPr="00717B9C" w:rsidRDefault="000034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00349C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  <w:r w:rsidR="004A7F68">
                              <w:rPr>
                                <w:color w:val="FFFFFF" w:themeColor="background1"/>
                              </w:rPr>
                              <w:t xml:space="preserve">Toll </w:t>
                            </w:r>
                            <w:r w:rsidR="00717B9C" w:rsidRPr="00717B9C">
                              <w:rPr>
                                <w:color w:val="FFFFFF" w:themeColor="background1"/>
                              </w:rPr>
                              <w:t>free: (877) 313-4455</w:t>
                            </w:r>
                          </w:p>
                          <w:p w:rsidR="00717B9C" w:rsidRPr="00717B9C" w:rsidRDefault="00717B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717B9C">
                              <w:rPr>
                                <w:color w:val="FFFFFF" w:themeColor="background1"/>
                              </w:rPr>
                              <w:t>Ph</w:t>
                            </w:r>
                            <w:r w:rsidR="004A7F68">
                              <w:rPr>
                                <w:color w:val="FFFFFF" w:themeColor="background1"/>
                              </w:rPr>
                              <w:t>one</w:t>
                            </w:r>
                            <w:r w:rsidRPr="00717B9C">
                              <w:rPr>
                                <w:color w:val="FFFFFF" w:themeColor="background1"/>
                              </w:rPr>
                              <w:t>: (360) 407-9490</w:t>
                            </w:r>
                          </w:p>
                          <w:p w:rsidR="00717B9C" w:rsidRPr="00717B9C" w:rsidRDefault="00717B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717B9C">
                              <w:rPr>
                                <w:color w:val="FFFFFF" w:themeColor="background1"/>
                              </w:rPr>
                              <w:t xml:space="preserve">Interpreters available. </w:t>
                            </w:r>
                          </w:p>
                          <w:p w:rsidR="00717B9C" w:rsidRPr="00717B9C" w:rsidRDefault="0000349C" w:rsidP="0000349C">
                            <w:pPr>
                              <w:pStyle w:val="BlockText"/>
                              <w:spacing w:after="0"/>
                            </w:pPr>
                            <w:r>
                              <w:t xml:space="preserve">TTY:  </w:t>
                            </w:r>
                            <w:r w:rsidR="00717B9C" w:rsidRPr="00717B9C">
                              <w:t xml:space="preserve">call </w:t>
                            </w:r>
                            <w:r>
                              <w:t xml:space="preserve">711 </w:t>
                            </w:r>
                            <w:r w:rsidR="00717B9C" w:rsidRPr="00717B9C">
                              <w:t xml:space="preserve">via WA </w:t>
                            </w:r>
                            <w:r>
                              <w:t xml:space="preserve">Relay </w:t>
                            </w:r>
                            <w:bookmarkEnd w:id="2"/>
                          </w:p>
                        </w:tc>
                      </w:tr>
                    </w:tbl>
                    <w:p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74F1">
        <w:t>Engaging in Race Discussions</w:t>
      </w:r>
    </w:p>
    <w:p w:rsidR="00B92E28" w:rsidRPr="00B92E28" w:rsidRDefault="00B92E28" w:rsidP="00B92E28">
      <w:pPr>
        <w:rPr>
          <w:i/>
        </w:rPr>
      </w:pPr>
      <w:r w:rsidRPr="00B92E28">
        <w:rPr>
          <w:i/>
        </w:rPr>
        <w:t>(Content adapted from Colorado State EAP’s Guide for Leader</w:t>
      </w:r>
      <w:r>
        <w:rPr>
          <w:i/>
        </w:rPr>
        <w:t>s</w:t>
      </w:r>
      <w:r w:rsidRPr="00B92E28">
        <w:rPr>
          <w:i/>
        </w:rPr>
        <w:t>:</w:t>
      </w:r>
      <w:r>
        <w:rPr>
          <w:i/>
        </w:rPr>
        <w:t xml:space="preserve"> Engaging in</w:t>
      </w:r>
      <w:r w:rsidRPr="00B92E28">
        <w:rPr>
          <w:i/>
        </w:rPr>
        <w:t xml:space="preserve"> Race Discussions)</w:t>
      </w:r>
    </w:p>
    <w:p w:rsidR="00913A9E" w:rsidRDefault="008874F1" w:rsidP="008874F1">
      <w:r>
        <w:t>The ability to engage in conversations about race and ethnicity is a vital skill for today’s leaders. These conversations can evoke discomfort, stress and even anxiety, but they are crucial for creating a safe, trusting environment.</w:t>
      </w:r>
    </w:p>
    <w:p w:rsidR="00A82319" w:rsidRDefault="00913A9E" w:rsidP="008874F1">
      <w:r>
        <w:t xml:space="preserve"> </w:t>
      </w:r>
      <w:r w:rsidR="008874F1">
        <w:t xml:space="preserve">In the context of EAP’s role in </w:t>
      </w:r>
      <w:r w:rsidR="009768D7">
        <w:t xml:space="preserve">helping people manage stress and anxiety, </w:t>
      </w:r>
      <w:r w:rsidR="008874F1">
        <w:t xml:space="preserve">we offer the below as some suggestions when engaging in race conversations. </w:t>
      </w:r>
    </w:p>
    <w:p w:rsidR="008874F1" w:rsidRDefault="00A9474C" w:rsidP="00A9474C">
      <w:r>
        <w:t xml:space="preserve">Here are some common questions and concerns: </w:t>
      </w:r>
    </w:p>
    <w:p w:rsidR="008874F1" w:rsidRDefault="008874F1" w:rsidP="00A9474C">
      <w:pPr>
        <w:pStyle w:val="Heading3"/>
      </w:pPr>
      <w:r w:rsidRPr="008874F1">
        <w:t>What if I say the wrong thing?</w:t>
      </w:r>
    </w:p>
    <w:p w:rsidR="00152E6F" w:rsidRDefault="00152E6F" w:rsidP="00152E6F">
      <w:r w:rsidRPr="00152E6F">
        <w:t>Since we cannot fully understand someone’s felt and/or lived experience, our responses will undoubtedly be imperfect. We might not have all the answers</w:t>
      </w:r>
      <w:r w:rsidR="008107C9">
        <w:t>,</w:t>
      </w:r>
      <w:r w:rsidRPr="00152E6F">
        <w:t xml:space="preserve"> but we do have control over how we respond. To reduce the chance of saying “the wrong thing”, consider responses like:</w:t>
      </w:r>
    </w:p>
    <w:p w:rsidR="00152E6F" w:rsidRPr="00152E6F" w:rsidRDefault="00152E6F" w:rsidP="00152E6F">
      <w:pPr>
        <w:pStyle w:val="ListParagraph"/>
        <w:numPr>
          <w:ilvl w:val="0"/>
          <w:numId w:val="1"/>
        </w:numPr>
        <w:rPr>
          <w:i/>
        </w:rPr>
      </w:pPr>
      <w:r w:rsidRPr="00152E6F">
        <w:rPr>
          <w:i/>
        </w:rPr>
        <w:t>It seems like this is really [important</w:t>
      </w:r>
      <w:r w:rsidR="009768D7">
        <w:rPr>
          <w:i/>
        </w:rPr>
        <w:t xml:space="preserve"> to, painful for, upsetting to] </w:t>
      </w:r>
      <w:r w:rsidRPr="00152E6F">
        <w:rPr>
          <w:i/>
        </w:rPr>
        <w:t>you. I don’t have a full response right now. Can I research this further and get back to you?</w:t>
      </w:r>
    </w:p>
    <w:p w:rsidR="00152E6F" w:rsidRPr="00A9474C" w:rsidRDefault="00152E6F" w:rsidP="00A9474C">
      <w:pPr>
        <w:pStyle w:val="ListParagraph"/>
        <w:numPr>
          <w:ilvl w:val="0"/>
          <w:numId w:val="1"/>
        </w:numPr>
        <w:rPr>
          <w:i/>
        </w:rPr>
      </w:pPr>
      <w:r w:rsidRPr="00A9474C">
        <w:rPr>
          <w:i/>
        </w:rPr>
        <w:t>I am willing to learn more about this. Can you tell me more?</w:t>
      </w:r>
    </w:p>
    <w:p w:rsidR="00152E6F" w:rsidRPr="00A9474C" w:rsidRDefault="00152E6F" w:rsidP="00B92E28">
      <w:pPr>
        <w:pStyle w:val="ListParagraph"/>
        <w:numPr>
          <w:ilvl w:val="0"/>
          <w:numId w:val="1"/>
        </w:numPr>
        <w:rPr>
          <w:i/>
        </w:rPr>
      </w:pPr>
      <w:r w:rsidRPr="00A9474C">
        <w:rPr>
          <w:i/>
        </w:rPr>
        <w:t>I want to take some more time to think this over.</w:t>
      </w:r>
      <w:r w:rsidR="008107C9">
        <w:rPr>
          <w:i/>
        </w:rPr>
        <w:t xml:space="preserve"> Can we plan a time to talk again</w:t>
      </w:r>
      <w:r w:rsidRPr="00A9474C">
        <w:rPr>
          <w:i/>
        </w:rPr>
        <w:t>?</w:t>
      </w:r>
    </w:p>
    <w:p w:rsidR="00152E6F" w:rsidRDefault="00152E6F" w:rsidP="00152E6F">
      <w:r>
        <w:t>If you offer a response that suggests you need more time, or an opportunity to research, ALWAYS  follow-up with more information or a thoughtful response.</w:t>
      </w:r>
    </w:p>
    <w:p w:rsidR="00152E6F" w:rsidRDefault="00152E6F" w:rsidP="00A9474C">
      <w:pPr>
        <w:pStyle w:val="Heading3"/>
      </w:pPr>
      <w:r w:rsidRPr="00152E6F">
        <w:t>How do I listen without immediately offering suggestions?</w:t>
      </w:r>
    </w:p>
    <w:p w:rsidR="00152E6F" w:rsidRDefault="00152E6F" w:rsidP="00152E6F">
      <w:r>
        <w:t>Solutions-finding is an important leadership skill</w:t>
      </w:r>
      <w:r w:rsidR="009768D7">
        <w:t>.  Y</w:t>
      </w:r>
      <w:r>
        <w:t xml:space="preserve">ou </w:t>
      </w:r>
      <w:r w:rsidR="009768D7">
        <w:t xml:space="preserve">call upon this skill </w:t>
      </w:r>
      <w:r>
        <w:t xml:space="preserve">regularly in your interactions with </w:t>
      </w:r>
      <w:r w:rsidR="008107C9">
        <w:t>others</w:t>
      </w:r>
      <w:r>
        <w:t>, but its use can</w:t>
      </w:r>
      <w:r w:rsidR="008107C9">
        <w:t xml:space="preserve"> at times</w:t>
      </w:r>
      <w:r>
        <w:t xml:space="preserve"> be a barrier to effective communication.  The person with whom you are communicating might experience you</w:t>
      </w:r>
      <w:r w:rsidR="00913A9E">
        <w:t xml:space="preserve"> as being </w:t>
      </w:r>
      <w:r>
        <w:t>dismissive of the topic of race.  Consider the following:</w:t>
      </w:r>
    </w:p>
    <w:p w:rsidR="00152E6F" w:rsidRDefault="00152E6F" w:rsidP="00152E6F">
      <w:pPr>
        <w:pStyle w:val="ListParagraph"/>
        <w:numPr>
          <w:ilvl w:val="0"/>
          <w:numId w:val="2"/>
        </w:numPr>
      </w:pPr>
      <w:r>
        <w:t>L</w:t>
      </w:r>
      <w:r w:rsidR="008107C9">
        <w:t>isten to understand the speaker</w:t>
      </w:r>
    </w:p>
    <w:p w:rsidR="00152E6F" w:rsidRDefault="008107C9" w:rsidP="00152E6F">
      <w:pPr>
        <w:pStyle w:val="ListParagraph"/>
        <w:numPr>
          <w:ilvl w:val="0"/>
          <w:numId w:val="2"/>
        </w:numPr>
      </w:pPr>
      <w:r>
        <w:t>Be empathetic</w:t>
      </w:r>
    </w:p>
    <w:p w:rsidR="00152E6F" w:rsidRDefault="00152E6F" w:rsidP="00152E6F">
      <w:pPr>
        <w:pStyle w:val="ListParagraph"/>
        <w:numPr>
          <w:ilvl w:val="0"/>
          <w:numId w:val="2"/>
        </w:numPr>
      </w:pPr>
      <w:r>
        <w:lastRenderedPageBreak/>
        <w:t>Be curiou</w:t>
      </w:r>
      <w:r w:rsidR="008107C9">
        <w:t>s</w:t>
      </w:r>
    </w:p>
    <w:p w:rsidR="00152E6F" w:rsidRDefault="00152E6F" w:rsidP="00152E6F">
      <w:pPr>
        <w:pStyle w:val="ListParagraph"/>
        <w:numPr>
          <w:ilvl w:val="0"/>
          <w:numId w:val="2"/>
        </w:numPr>
      </w:pPr>
      <w:r>
        <w:t>Be</w:t>
      </w:r>
      <w:r w:rsidR="008107C9">
        <w:t xml:space="preserve"> aware of defensiveness in your physical or emotional posture</w:t>
      </w:r>
    </w:p>
    <w:p w:rsidR="00B7309F" w:rsidRDefault="00B7309F" w:rsidP="00A9474C">
      <w:pPr>
        <w:pStyle w:val="Heading3"/>
      </w:pPr>
      <w:r w:rsidRPr="00B7309F">
        <w:t>How can I get better at recognizing my own blind-spots and biases?</w:t>
      </w:r>
    </w:p>
    <w:p w:rsidR="002F7D92" w:rsidRDefault="00CF5CC6" w:rsidP="002F7D92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8BBAA" wp14:editId="5304308A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2217420" cy="2202180"/>
                <wp:effectExtent l="0" t="0" r="1143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2021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CC6" w:rsidRPr="00CF5CC6" w:rsidRDefault="00CF5CC6" w:rsidP="00CF5CC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F5C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Leaning into personal development opportunities is an important step in </w:t>
                            </w:r>
                            <w:r w:rsidR="00AC5DA7" w:rsidRPr="00CF5C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lead</w:t>
                            </w:r>
                            <w:r w:rsidR="00AC5DA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ing your staff more effectively and in </w:t>
                            </w:r>
                            <w:r w:rsidRPr="00CF5C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addressing concerns and anxiety about navigat</w:t>
                            </w:r>
                            <w:r w:rsidR="00AC5DA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ing courageous conversations.</w:t>
                            </w:r>
                            <w:r w:rsidRPr="00CF5CC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8BBAA" id="Text Box 2" o:spid="_x0000_s1027" type="#_x0000_t202" style="position:absolute;margin-left:0;margin-top:6.7pt;width:174.6pt;height:17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" fillcolor="#1f497d [3215]">
                <v:textbox>
                  <w:txbxContent>
                    <w:p w:rsidR="00CF5CC6" w:rsidRPr="00CF5CC6" w:rsidRDefault="00CF5CC6" w:rsidP="00CF5CC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CF5CC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Leaning into personal development opportunities is an important step in </w:t>
                      </w:r>
                      <w:r w:rsidR="00AC5DA7" w:rsidRPr="00CF5CC6">
                        <w:rPr>
                          <w:color w:val="FFFFFF" w:themeColor="background1"/>
                          <w:sz w:val="28"/>
                          <w:szCs w:val="28"/>
                        </w:rPr>
                        <w:t>lead</w:t>
                      </w:r>
                      <w:r w:rsidR="00AC5DA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ing your staff more effectively and in </w:t>
                      </w:r>
                      <w:r w:rsidRPr="00CF5CC6">
                        <w:rPr>
                          <w:color w:val="FFFFFF" w:themeColor="background1"/>
                          <w:sz w:val="28"/>
                          <w:szCs w:val="28"/>
                        </w:rPr>
                        <w:t>addressing concerns and anxiety about navigat</w:t>
                      </w:r>
                      <w:r w:rsidR="00AC5DA7">
                        <w:rPr>
                          <w:color w:val="FFFFFF" w:themeColor="background1"/>
                          <w:sz w:val="28"/>
                          <w:szCs w:val="28"/>
                        </w:rPr>
                        <w:t>ing courageous conversations.</w:t>
                      </w:r>
                      <w:r w:rsidRPr="00CF5CC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D92">
        <w:t xml:space="preserve">Supervisors curious about recognizing their own biases can pursue learning opportunities. The </w:t>
      </w:r>
      <w:hyperlink r:id="rId9" w:history="1">
        <w:r w:rsidR="002F7D92" w:rsidRPr="002F7D92">
          <w:rPr>
            <w:rStyle w:val="Hyperlink"/>
          </w:rPr>
          <w:t>Inclusive Leadership Series: Recognizing Implicit Bias</w:t>
        </w:r>
      </w:hyperlink>
      <w:r w:rsidR="002F7D92">
        <w:t xml:space="preserve"> workshop helps leaders become more aware of the role and impact of their blind spots on team working relationships. This is a 2-hour workshop designed to help leaders build their </w:t>
      </w:r>
      <w:hyperlink r:id="rId10" w:history="1">
        <w:r w:rsidR="002F7D92" w:rsidRPr="002F7D92">
          <w:rPr>
            <w:rStyle w:val="Hyperlink"/>
          </w:rPr>
          <w:t>leadership competence</w:t>
        </w:r>
      </w:hyperlink>
      <w:r w:rsidR="002F7D92">
        <w:t xml:space="preserve"> with a focus on biases. The </w:t>
      </w:r>
      <w:hyperlink r:id="rId11" w:history="1">
        <w:r w:rsidR="002F7D92" w:rsidRPr="00725A8A">
          <w:rPr>
            <w:rStyle w:val="Hyperlink"/>
          </w:rPr>
          <w:t>Mitigating Implicit Bias in the Hiring Process</w:t>
        </w:r>
      </w:hyperlink>
      <w:r w:rsidR="002F7D92">
        <w:t xml:space="preserve"> is a 4-hour class designed to develop managers' knowledge, skills and awareness for reducing the impact of bias in hiring processes and decisions.</w:t>
      </w:r>
    </w:p>
    <w:p w:rsidR="00CF5CC6" w:rsidRDefault="002F7D92" w:rsidP="002F7D92">
      <w:r>
        <w:t xml:space="preserve">Leaders can also turn to a curated list of online resources found here: </w:t>
      </w:r>
      <w:hyperlink r:id="rId12" w:anchor="DEI" w:history="1">
        <w:r w:rsidRPr="002F7D92">
          <w:rPr>
            <w:rStyle w:val="Hyperlink"/>
          </w:rPr>
          <w:t>Learning Pathway Resources for Workplace Culture and DEI</w:t>
        </w:r>
      </w:hyperlink>
      <w:r>
        <w:t xml:space="preserve">. </w:t>
      </w:r>
    </w:p>
    <w:p w:rsidR="00E20D9A" w:rsidRDefault="002F7D92" w:rsidP="002F7D92">
      <w:r>
        <w:t>See these two articles relevant to recognizing blind spots and biases</w:t>
      </w:r>
      <w:r w:rsidR="00E20D9A">
        <w:t>:</w:t>
      </w:r>
    </w:p>
    <w:p w:rsidR="002F7D92" w:rsidRDefault="001F5B89" w:rsidP="00E20D9A">
      <w:pPr>
        <w:pStyle w:val="ListParagraph"/>
        <w:numPr>
          <w:ilvl w:val="0"/>
          <w:numId w:val="4"/>
        </w:numPr>
      </w:pPr>
      <w:hyperlink r:id="rId13" w:history="1">
        <w:r w:rsidR="00E20D9A" w:rsidRPr="00E20D9A">
          <w:rPr>
            <w:rStyle w:val="Hyperlink"/>
          </w:rPr>
          <w:t>12 Common Biases That Affect How We Make Decisions</w:t>
        </w:r>
      </w:hyperlink>
    </w:p>
    <w:p w:rsidR="002F7D92" w:rsidRDefault="001F5B89" w:rsidP="00E20D9A">
      <w:pPr>
        <w:pStyle w:val="ListParagraph"/>
        <w:numPr>
          <w:ilvl w:val="0"/>
          <w:numId w:val="4"/>
        </w:numPr>
      </w:pPr>
      <w:hyperlink r:id="rId14" w:history="1">
        <w:r w:rsidR="002F7D92" w:rsidRPr="00E20D9A">
          <w:rPr>
            <w:rStyle w:val="Hyperlink"/>
          </w:rPr>
          <w:t>Understanding Your Biases</w:t>
        </w:r>
      </w:hyperlink>
    </w:p>
    <w:p w:rsidR="00B7309F" w:rsidRDefault="00B7309F" w:rsidP="00B7309F">
      <w:pPr>
        <w:pStyle w:val="Heading2"/>
      </w:pPr>
      <w:bookmarkStart w:id="3" w:name="_Critical_Incident_Response"/>
      <w:bookmarkEnd w:id="3"/>
      <w:r>
        <w:t>Critical Incident Response</w:t>
      </w:r>
    </w:p>
    <w:p w:rsidR="00B7309F" w:rsidRDefault="00B7309F" w:rsidP="00B7309F">
      <w:r>
        <w:t>A critical incident is defined as an event resulting in an impact sufficient enough to overwhelm the coping skills of individuals in a group/team. When a critical incident occurs, the EAP can provide guidance to supervisors, managers and HR personnel on how to support affected employees. Critical incident support can be most helpful 3 to 10 business days following an event. The EAP can assist with:</w:t>
      </w:r>
    </w:p>
    <w:p w:rsidR="00B7309F" w:rsidRDefault="00B7309F" w:rsidP="00B7309F">
      <w:pPr>
        <w:pStyle w:val="ListParagraph"/>
        <w:numPr>
          <w:ilvl w:val="0"/>
          <w:numId w:val="3"/>
        </w:numPr>
      </w:pPr>
      <w:r>
        <w:t>Helping to identify critical issues, next steps and potential risks to individuals and groups and the organization.</w:t>
      </w:r>
    </w:p>
    <w:p w:rsidR="00B7309F" w:rsidRDefault="00B7309F" w:rsidP="00B7309F">
      <w:pPr>
        <w:pStyle w:val="ListParagraph"/>
        <w:numPr>
          <w:ilvl w:val="0"/>
          <w:numId w:val="3"/>
        </w:numPr>
      </w:pPr>
      <w:r>
        <w:t>Equipping supervisors and managers with the tools and resources to support individuals and groups before, during and after an event.</w:t>
      </w:r>
    </w:p>
    <w:p w:rsidR="00B7309F" w:rsidRDefault="0011564A" w:rsidP="00B7309F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7C3A0E" wp14:editId="2FCC0B5F">
                <wp:simplePos x="0" y="0"/>
                <wp:positionH relativeFrom="column">
                  <wp:posOffset>4307840</wp:posOffset>
                </wp:positionH>
                <wp:positionV relativeFrom="paragraph">
                  <wp:posOffset>666115</wp:posOffset>
                </wp:positionV>
                <wp:extent cx="2217420" cy="2112010"/>
                <wp:effectExtent l="0" t="0" r="114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11201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4A" w:rsidRPr="0011564A" w:rsidRDefault="006C676F" w:rsidP="0011564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="0011564A" w:rsidRPr="0011564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 EAP offers Live Webinars, COVID-19 Related Webinars and On Demand Webinars to promote workforce well-being. Check the </w:t>
                            </w:r>
                            <w:hyperlink r:id="rId15" w:history="1">
                              <w:r w:rsidR="0011564A" w:rsidRPr="0011564A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Webinars</w:t>
                              </w:r>
                            </w:hyperlink>
                            <w:r w:rsidR="0011564A" w:rsidRPr="0011564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page for a complete list of all available webinars. </w:t>
                            </w:r>
                          </w:p>
                          <w:p w:rsidR="0011564A" w:rsidRPr="0011564A" w:rsidRDefault="0011564A" w:rsidP="0011564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C3A0E" id="_x0000_s1028" type="#_x0000_t202" style="position:absolute;margin-left:339.2pt;margin-top:52.45pt;width:174.6pt;height:16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" fillcolor="#1f497d [3215]">
                <v:textbox>
                  <w:txbxContent>
                    <w:p w:rsidR="0011564A" w:rsidRPr="0011564A" w:rsidRDefault="006C676F" w:rsidP="0011564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="0011564A" w:rsidRPr="0011564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he EAP offers Live Webinars, COVID-19 Related Webinars and On Demand Webinars to promote workforce well-being. Check the </w:t>
                      </w:r>
                      <w:hyperlink r:id="rId16" w:history="1">
                        <w:r w:rsidR="0011564A" w:rsidRPr="0011564A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Webinars</w:t>
                        </w:r>
                      </w:hyperlink>
                      <w:r w:rsidR="0011564A" w:rsidRPr="0011564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page for a complete list of all available webinars. </w:t>
                      </w:r>
                    </w:p>
                    <w:p w:rsidR="0011564A" w:rsidRPr="0011564A" w:rsidRDefault="0011564A" w:rsidP="0011564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309F">
        <w:t xml:space="preserve">Please see the </w:t>
      </w:r>
      <w:hyperlink r:id="rId17" w:history="1">
        <w:r w:rsidR="00B7309F" w:rsidRPr="00913A9E">
          <w:rPr>
            <w:rStyle w:val="Hyperlink"/>
          </w:rPr>
          <w:t>Critical Incident Re</w:t>
        </w:r>
        <w:r w:rsidR="00B7309F" w:rsidRPr="00913A9E">
          <w:rPr>
            <w:rStyle w:val="Hyperlink"/>
          </w:rPr>
          <w:t>s</w:t>
        </w:r>
        <w:r w:rsidR="00B7309F" w:rsidRPr="00913A9E">
          <w:rPr>
            <w:rStyle w:val="Hyperlink"/>
          </w:rPr>
          <w:t xml:space="preserve">ponse </w:t>
        </w:r>
        <w:r w:rsidR="00B7309F" w:rsidRPr="00913A9E">
          <w:rPr>
            <w:rStyle w:val="Hyperlink"/>
          </w:rPr>
          <w:t>G</w:t>
        </w:r>
        <w:r w:rsidR="00B7309F" w:rsidRPr="00913A9E">
          <w:rPr>
            <w:rStyle w:val="Hyperlink"/>
          </w:rPr>
          <w:t>uide</w:t>
        </w:r>
      </w:hyperlink>
      <w:r w:rsidR="00B7309F">
        <w:t xml:space="preserve"> (PDF) for more information.  The guide covers examples of critical incidents, what to expect from impacted employees, making the initial announcement about the incident and ways to support employees.</w:t>
      </w:r>
    </w:p>
    <w:p w:rsidR="00B7309F" w:rsidRDefault="00B7309F" w:rsidP="00B7309F">
      <w:pPr>
        <w:pStyle w:val="Heading2"/>
      </w:pPr>
      <w:bookmarkStart w:id="4" w:name="_EAP_Live_and"/>
      <w:bookmarkEnd w:id="4"/>
      <w:r>
        <w:t>EAP Live and On-Demand Webinars</w:t>
      </w:r>
    </w:p>
    <w:p w:rsidR="00B7309F" w:rsidRPr="0085584E" w:rsidRDefault="00B7309F" w:rsidP="00A9474C">
      <w:pPr>
        <w:pStyle w:val="Heading3"/>
      </w:pPr>
      <w:r>
        <w:t xml:space="preserve">Upcoming Live </w:t>
      </w:r>
      <w:r w:rsidRPr="00A9474C">
        <w:t>Webinars</w:t>
      </w:r>
    </w:p>
    <w:p w:rsidR="00B7309F" w:rsidRDefault="00B7309F" w:rsidP="00B7309F">
      <w:r>
        <w:t>EAP Orientation – Tuesday, March 16</w:t>
      </w:r>
      <w:r w:rsidRPr="00666887">
        <w:rPr>
          <w:vertAlign w:val="superscript"/>
        </w:rPr>
        <w:t>th</w:t>
      </w:r>
      <w:r>
        <w:t xml:space="preserve"> @ 10:00 AM to 10:30 AM (</w:t>
      </w:r>
      <w:hyperlink r:id="rId18" w:history="1">
        <w:r w:rsidRPr="0085584E">
          <w:rPr>
            <w:rStyle w:val="Hyperlink"/>
          </w:rPr>
          <w:t>Registration link</w:t>
        </w:r>
      </w:hyperlink>
      <w:r>
        <w:t>)</w:t>
      </w:r>
    </w:p>
    <w:p w:rsidR="00B7309F" w:rsidRDefault="00B7309F" w:rsidP="00B7309F">
      <w:pPr>
        <w:pStyle w:val="Heading3"/>
      </w:pPr>
      <w:r>
        <w:t>COVID-19 Related Webinars and On Demand Webinars</w:t>
      </w:r>
    </w:p>
    <w:p w:rsidR="00B7309F" w:rsidRDefault="00B7309F" w:rsidP="00B7309F">
      <w:r w:rsidRPr="003358F0">
        <w:t>Leading Teams and Supporting Employees through COVID-19</w:t>
      </w:r>
      <w:r>
        <w:t xml:space="preserve"> (</w:t>
      </w:r>
      <w:hyperlink r:id="rId19" w:history="1">
        <w:r w:rsidRPr="003358F0">
          <w:rPr>
            <w:rStyle w:val="Hyperlink"/>
          </w:rPr>
          <w:t>On-Demand, YouTube video</w:t>
        </w:r>
      </w:hyperlink>
      <w:r>
        <w:t>)</w:t>
      </w:r>
    </w:p>
    <w:p w:rsidR="00B7309F" w:rsidRPr="00666887" w:rsidRDefault="00B7309F" w:rsidP="00B7309F">
      <w:r w:rsidRPr="003358F0">
        <w:t>Leading the Human Side of Change</w:t>
      </w:r>
      <w:r>
        <w:t xml:space="preserve"> (</w:t>
      </w:r>
      <w:hyperlink r:id="rId20" w:history="1">
        <w:r w:rsidRPr="003358F0">
          <w:rPr>
            <w:rStyle w:val="Hyperlink"/>
          </w:rPr>
          <w:t>Presentation slides PDF</w:t>
        </w:r>
      </w:hyperlink>
      <w:r>
        <w:t>)</w:t>
      </w:r>
      <w:r w:rsidR="0011564A" w:rsidRPr="0011564A">
        <w:rPr>
          <w:noProof/>
        </w:rPr>
        <w:t xml:space="preserve"> </w:t>
      </w:r>
    </w:p>
    <w:sectPr w:rsidR="00B7309F" w:rsidRPr="00666887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8D" w:rsidRDefault="00AE238D">
      <w:pPr>
        <w:spacing w:after="0" w:line="240" w:lineRule="auto"/>
      </w:pPr>
      <w:r>
        <w:separator/>
      </w:r>
    </w:p>
  </w:endnote>
  <w:endnote w:type="continuationSeparator" w:id="0">
    <w:p w:rsidR="00AE238D" w:rsidRDefault="00AE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8D" w:rsidRDefault="00AE238D">
      <w:pPr>
        <w:spacing w:after="0" w:line="240" w:lineRule="auto"/>
      </w:pPr>
      <w:r>
        <w:separator/>
      </w:r>
    </w:p>
  </w:footnote>
  <w:footnote w:type="continuationSeparator" w:id="0">
    <w:p w:rsidR="00AE238D" w:rsidRDefault="00AE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F22"/>
    <w:multiLevelType w:val="hybridMultilevel"/>
    <w:tmpl w:val="978C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58A7"/>
    <w:multiLevelType w:val="hybridMultilevel"/>
    <w:tmpl w:val="79DEB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160694"/>
    <w:multiLevelType w:val="hybridMultilevel"/>
    <w:tmpl w:val="1B9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C348B"/>
    <w:multiLevelType w:val="hybridMultilevel"/>
    <w:tmpl w:val="E6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D"/>
    <w:rsid w:val="0000349C"/>
    <w:rsid w:val="0002710F"/>
    <w:rsid w:val="000511E6"/>
    <w:rsid w:val="001028AC"/>
    <w:rsid w:val="0011564A"/>
    <w:rsid w:val="00152E6F"/>
    <w:rsid w:val="001F5B89"/>
    <w:rsid w:val="002F7D92"/>
    <w:rsid w:val="004A7F68"/>
    <w:rsid w:val="005A4C90"/>
    <w:rsid w:val="005D60A3"/>
    <w:rsid w:val="006C676F"/>
    <w:rsid w:val="00717B9C"/>
    <w:rsid w:val="00725A8A"/>
    <w:rsid w:val="008107C9"/>
    <w:rsid w:val="008874F1"/>
    <w:rsid w:val="008956E6"/>
    <w:rsid w:val="009028EB"/>
    <w:rsid w:val="00913A9E"/>
    <w:rsid w:val="009768D7"/>
    <w:rsid w:val="00A77E8F"/>
    <w:rsid w:val="00A82319"/>
    <w:rsid w:val="00A9474C"/>
    <w:rsid w:val="00AC5DA7"/>
    <w:rsid w:val="00AE238D"/>
    <w:rsid w:val="00B7309F"/>
    <w:rsid w:val="00B92E28"/>
    <w:rsid w:val="00CF5CC6"/>
    <w:rsid w:val="00D458DD"/>
    <w:rsid w:val="00DE1238"/>
    <w:rsid w:val="00E20D9A"/>
    <w:rsid w:val="00E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6BD46"/>
  <w15:chartTrackingRefBased/>
  <w15:docId w15:val="{CC82AAAC-AFAC-45F8-9975-AB0ABA2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09F"/>
    <w:pPr>
      <w:spacing w:after="12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8874F1"/>
    <w:pPr>
      <w:keepNext/>
      <w:keepLines/>
      <w:spacing w:before="360" w:after="140"/>
      <w:outlineLvl w:val="0"/>
    </w:pPr>
    <w:rPr>
      <w:rFonts w:ascii="Century Gothic" w:eastAsiaTheme="majorEastAsia" w:hAnsi="Century Gothic" w:cstheme="majorBidi"/>
      <w:b/>
      <w:bCs/>
      <w:color w:val="F79646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874F1"/>
    <w:pPr>
      <w:keepNext/>
      <w:keepLines/>
      <w:spacing w:before="120" w:line="240" w:lineRule="auto"/>
      <w:outlineLvl w:val="1"/>
    </w:pPr>
    <w:rPr>
      <w:rFonts w:ascii="Century Gothic" w:eastAsiaTheme="majorEastAsia" w:hAnsi="Century Gothic" w:cstheme="majorBidi"/>
      <w:b/>
      <w:color w:val="F79646" w:themeColor="accent6"/>
      <w:sz w:val="28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028EB"/>
    <w:pPr>
      <w:keepNext/>
      <w:keepLines/>
      <w:spacing w:before="120"/>
      <w:outlineLvl w:val="2"/>
    </w:pPr>
    <w:rPr>
      <w:rFonts w:ascii="Century Gothic" w:hAnsi="Century Gothic"/>
      <w:b/>
      <w:bCs/>
      <w:color w:val="0070C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52E6F"/>
    <w:pPr>
      <w:keepNext/>
      <w:keepLines/>
      <w:spacing w:before="120"/>
      <w:outlineLvl w:val="3"/>
    </w:pPr>
    <w:rPr>
      <w:rFonts w:ascii="Century Gothic" w:eastAsiaTheme="majorEastAsia" w:hAnsi="Century Gothic" w:cstheme="majorBidi"/>
      <w:color w:val="0070C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8874F1"/>
    <w:rPr>
      <w:rFonts w:ascii="Century Gothic" w:eastAsiaTheme="majorEastAsia" w:hAnsi="Century Gothic" w:cstheme="majorBidi"/>
      <w:b/>
      <w:bCs/>
      <w:color w:val="F79646" w:themeColor="accent6"/>
      <w:sz w:val="28"/>
    </w:rPr>
  </w:style>
  <w:style w:type="paragraph" w:customStyle="1" w:styleId="BlockHeading">
    <w:name w:val="Block Heading"/>
    <w:basedOn w:val="Normal"/>
    <w:next w:val="BlockText"/>
    <w:uiPriority w:val="3"/>
    <w:qFormat/>
    <w:rsid w:val="00717B9C"/>
    <w:pPr>
      <w:spacing w:after="180" w:line="216" w:lineRule="auto"/>
      <w:ind w:left="288" w:right="288"/>
    </w:pPr>
    <w:rPr>
      <w:rFonts w:ascii="Century Gothic" w:eastAsiaTheme="majorEastAsia" w:hAnsi="Century Gothic" w:cstheme="majorBidi"/>
      <w:b/>
      <w:bC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rsid w:val="008874F1"/>
    <w:pPr>
      <w:spacing w:after="180" w:line="312" w:lineRule="auto"/>
      <w:ind w:left="288" w:right="288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3"/>
    <w:rsid w:val="008874F1"/>
    <w:rPr>
      <w:rFonts w:ascii="Century Gothic" w:eastAsiaTheme="majorEastAsia" w:hAnsi="Century Gothic" w:cstheme="majorBidi"/>
      <w:b/>
      <w:color w:val="F79646" w:themeColor="accent6"/>
      <w:sz w:val="28"/>
    </w:rPr>
  </w:style>
  <w:style w:type="character" w:customStyle="1" w:styleId="Heading3Char">
    <w:name w:val="Heading 3 Char"/>
    <w:basedOn w:val="DefaultParagraphFont"/>
    <w:link w:val="Heading3"/>
    <w:uiPriority w:val="3"/>
    <w:rsid w:val="009028EB"/>
    <w:rPr>
      <w:rFonts w:ascii="Century Gothic" w:hAnsi="Century Gothic"/>
      <w:b/>
      <w:bCs/>
      <w:color w:val="0070C0"/>
      <w:sz w:val="24"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365F91" w:themeColor="accent1" w:themeShade="BF"/>
        <w:bottom w:val="single" w:sz="6" w:space="4" w:color="365F91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rsid w:val="00152E6F"/>
    <w:rPr>
      <w:rFonts w:ascii="Century Gothic" w:eastAsiaTheme="majorEastAsia" w:hAnsi="Century Gothic" w:cstheme="majorBidi"/>
      <w:color w:val="0070C0"/>
      <w:sz w:val="22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ListParagraph">
    <w:name w:val="List Paragraph"/>
    <w:basedOn w:val="Normal"/>
    <w:uiPriority w:val="34"/>
    <w:unhideWhenUsed/>
    <w:qFormat/>
    <w:rsid w:val="0015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0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sychologytoday.com/us/blog/thoughts-thinking/201809/12-common-biases-affect-how-we-make-everyday-decisions" TargetMode="External"/><Relationship Id="rId18" Type="http://schemas.openxmlformats.org/officeDocument/2006/relationships/hyperlink" Target="https://des-wa.zoom.us/webinar/register/WN_GbMRz1_qTHa1Qs73QpsJf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es.wa.gov/services/training-and-development/online-learning-resources-workforce-development/previously-posted-learning-pathway-resources-and-opportunities" TargetMode="External"/><Relationship Id="rId17" Type="http://schemas.openxmlformats.org/officeDocument/2006/relationships/hyperlink" Target="https://des.wa.gov/sites/default/files/public/documents/More%20DOP%20Services/EAP/ISM%20Materials/Incident-Stress-Guide-for-Managers.pdf?=e159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s.wa.gov/services/hr-finance/washington-state-employee-assistance-program-eap/webinars" TargetMode="External"/><Relationship Id="rId20" Type="http://schemas.openxmlformats.org/officeDocument/2006/relationships/hyperlink" Target="https://des.wa.gov/sites/default/files/public/documents/More%20DOP%20Services/EAP/webinar/Leading%20the%20Human%20Side%20of%20Change.pdf?=5e34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s.wa.gov/training/CourseDescription/21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s.wa.gov/services/hr-finance/washington-state-employee-assistance-program-eap/webinars" TargetMode="External"/><Relationship Id="rId10" Type="http://schemas.openxmlformats.org/officeDocument/2006/relationships/hyperlink" Target="https://des.wa.gov/sites/default/files/public/documents/Training/LeadershipDevelopment/Leadership_Competencies.pdf?=03089" TargetMode="External"/><Relationship Id="rId19" Type="http://schemas.openxmlformats.org/officeDocument/2006/relationships/hyperlink" Target="https://www.youtube.com/watch?v=dyacqw-_krU&amp;feature=youtu.be&amp;re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s.wa.gov/training/CourseDescription/2191" TargetMode="External"/><Relationship Id="rId14" Type="http://schemas.openxmlformats.org/officeDocument/2006/relationships/hyperlink" Target="https://psych.wustl.edu/news/understanding-your-biase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owb179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394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Darrow (DES)</dc:creator>
  <cp:keywords/>
  <cp:lastModifiedBy>Brown, Darrow (DES)</cp:lastModifiedBy>
  <cp:revision>15</cp:revision>
  <cp:lastPrinted>2012-08-02T20:18:00Z</cp:lastPrinted>
  <dcterms:created xsi:type="dcterms:W3CDTF">2021-02-22T06:15:00Z</dcterms:created>
  <dcterms:modified xsi:type="dcterms:W3CDTF">2021-02-24T20:29:00Z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