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5A1" w:rsidRPr="00037C76" w:rsidRDefault="007925A1" w:rsidP="007925A1">
      <w:pPr>
        <w:tabs>
          <w:tab w:val="center" w:pos="4680"/>
        </w:tabs>
        <w:suppressAutoHyphens/>
        <w:jc w:val="center"/>
        <w:rPr>
          <w:rFonts w:ascii="Times New Roman" w:hAnsi="Times New Roman"/>
        </w:rPr>
      </w:pPr>
      <w:r w:rsidRPr="00037C76">
        <w:rPr>
          <w:rFonts w:ascii="Times New Roman" w:hAnsi="Times New Roman"/>
          <w:b/>
          <w:sz w:val="30"/>
        </w:rPr>
        <w:t>Value Engineering Guidelines</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r w:rsidRPr="00037C76">
        <w:rPr>
          <w:rFonts w:ascii="Times New Roman" w:hAnsi="Times New Roman"/>
          <w:b/>
          <w:sz w:val="24"/>
          <w:u w:val="single"/>
        </w:rPr>
        <w:t>1.0</w:t>
      </w:r>
      <w:r w:rsidRPr="00037C76">
        <w:rPr>
          <w:rFonts w:ascii="Times New Roman" w:hAnsi="Times New Roman"/>
          <w:b/>
          <w:sz w:val="24"/>
          <w:u w:val="single"/>
        </w:rPr>
        <w:tab/>
        <w:t>General</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277" w:hanging="277"/>
        <w:rPr>
          <w:rFonts w:ascii="Times New Roman" w:hAnsi="Times New Roman"/>
        </w:rPr>
      </w:pPr>
      <w:r w:rsidRPr="00037C76">
        <w:rPr>
          <w:rFonts w:ascii="Times New Roman" w:hAnsi="Times New Roman"/>
        </w:rPr>
        <w:tab/>
        <w:t>It is the policy of the State of Washington that major facility designs be based on achieving the best value over the life of the project.  The value can be achieved in the initial construction cost, building efficiency, long term operating cost, maintenance costs, or personnel costs necessitated by a particular design.</w:t>
      </w:r>
      <w:r w:rsidR="00B20552">
        <w:rPr>
          <w:rFonts w:ascii="Times New Roman" w:hAnsi="Times New Roman"/>
        </w:rPr>
        <w:t xml:space="preserve">  </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277" w:hanging="277"/>
        <w:rPr>
          <w:rFonts w:ascii="Times New Roman" w:hAnsi="Times New Roman"/>
        </w:rPr>
      </w:pPr>
      <w:r w:rsidRPr="00037C76">
        <w:rPr>
          <w:rFonts w:ascii="Times New Roman" w:hAnsi="Times New Roman"/>
        </w:rPr>
        <w:tab/>
        <w:t xml:space="preserve">A Value Engineering (VE) study is performed for every major capital project </w:t>
      </w:r>
      <w:r w:rsidR="00B20552">
        <w:rPr>
          <w:rFonts w:ascii="Times New Roman" w:hAnsi="Times New Roman"/>
        </w:rPr>
        <w:t xml:space="preserve">in accordance with </w:t>
      </w:r>
      <w:r w:rsidR="00B20552">
        <w:rPr>
          <w:rFonts w:ascii="Times New Roman" w:hAnsi="Times New Roman"/>
        </w:rPr>
        <w:t xml:space="preserve">RCW </w:t>
      </w:r>
      <w:r w:rsidR="00B20552" w:rsidRPr="00B20552">
        <w:rPr>
          <w:rFonts w:ascii="Times New Roman" w:hAnsi="Times New Roman"/>
        </w:rPr>
        <w:t>43.88.110(5)(c).</w:t>
      </w:r>
      <w:r w:rsidR="00B20552">
        <w:rPr>
          <w:rFonts w:ascii="Times New Roman" w:hAnsi="Times New Roman"/>
        </w:rPr>
        <w:t xml:space="preserve">  </w:t>
      </w:r>
      <w:r w:rsidR="00B20552" w:rsidRPr="00037C76">
        <w:rPr>
          <w:rFonts w:ascii="Times New Roman" w:hAnsi="Times New Roman"/>
        </w:rPr>
        <w:t xml:space="preserve">Major capital projects are projects </w:t>
      </w:r>
      <w:r w:rsidR="00B20552" w:rsidRPr="00B20552">
        <w:rPr>
          <w:rFonts w:ascii="Times New Roman" w:hAnsi="Times New Roman"/>
        </w:rPr>
        <w:t>valued over five million dollars, with the exception of projects at institutions of higher education as defined in RCW 28B.10.016</w:t>
      </w:r>
      <w:r w:rsidR="00B20552" w:rsidRPr="00037C76">
        <w:rPr>
          <w:rFonts w:ascii="Times New Roman" w:hAnsi="Times New Roman"/>
        </w:rPr>
        <w:t xml:space="preserve">.  </w:t>
      </w:r>
      <w:r w:rsidRPr="00037C76">
        <w:rPr>
          <w:rFonts w:ascii="Times New Roman" w:hAnsi="Times New Roman"/>
        </w:rPr>
        <w:t>A separate VE firm will be contracted with to perform the value engineering study.</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277" w:hanging="277"/>
        <w:rPr>
          <w:rFonts w:ascii="Times New Roman" w:hAnsi="Times New Roman"/>
        </w:rPr>
      </w:pPr>
      <w:r w:rsidRPr="00037C76">
        <w:rPr>
          <w:rFonts w:ascii="Times New Roman" w:hAnsi="Times New Roman"/>
        </w:rPr>
        <w:tab/>
        <w:t>The "Report Of Results Of Value Analysis" shall be completed and submitted to the PM.</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r w:rsidRPr="00037C76">
        <w:rPr>
          <w:rFonts w:ascii="Times New Roman" w:hAnsi="Times New Roman"/>
          <w:b/>
          <w:sz w:val="24"/>
          <w:u w:val="single"/>
        </w:rPr>
        <w:t>2.0</w:t>
      </w:r>
      <w:r w:rsidRPr="00037C76">
        <w:rPr>
          <w:rFonts w:ascii="Times New Roman" w:hAnsi="Times New Roman"/>
          <w:b/>
          <w:sz w:val="24"/>
          <w:u w:val="single"/>
        </w:rPr>
        <w:tab/>
        <w:t>Participants and Responsibilities</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277" w:hanging="277"/>
        <w:rPr>
          <w:rFonts w:ascii="Times New Roman" w:hAnsi="Times New Roman"/>
        </w:rPr>
      </w:pPr>
      <w:r w:rsidRPr="00037C76">
        <w:rPr>
          <w:rFonts w:ascii="Times New Roman" w:hAnsi="Times New Roman"/>
        </w:rPr>
        <w:tab/>
        <w:t>The responsibilities outlined herein constitute the minimum effort required to comply with the VE process.  They are not intended to be a complete listing of the responsibilities of each participant.</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821" w:hanging="821"/>
        <w:rPr>
          <w:rFonts w:ascii="Times New Roman" w:hAnsi="Times New Roman"/>
        </w:rPr>
      </w:pPr>
      <w:r w:rsidRPr="00037C76">
        <w:rPr>
          <w:rFonts w:ascii="Times New Roman" w:hAnsi="Times New Roman"/>
        </w:rPr>
        <w:tab/>
      </w:r>
      <w:r w:rsidRPr="00037C76">
        <w:rPr>
          <w:rFonts w:ascii="Times New Roman" w:hAnsi="Times New Roman"/>
          <w:b/>
        </w:rPr>
        <w:t>2.1</w:t>
      </w:r>
      <w:r w:rsidRPr="00037C76">
        <w:rPr>
          <w:rFonts w:ascii="Times New Roman" w:hAnsi="Times New Roman"/>
        </w:rPr>
        <w:tab/>
        <w:t>The PM will develop a scope of work for the VE team, chair the selection committee and contract for the VE services.</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821" w:hanging="821"/>
        <w:rPr>
          <w:rFonts w:ascii="Times New Roman" w:hAnsi="Times New Roman"/>
        </w:rPr>
      </w:pPr>
      <w:r w:rsidRPr="00037C76">
        <w:rPr>
          <w:rFonts w:ascii="Times New Roman" w:hAnsi="Times New Roman"/>
        </w:rPr>
        <w:tab/>
      </w:r>
      <w:r w:rsidRPr="00037C76">
        <w:rPr>
          <w:rFonts w:ascii="Times New Roman" w:hAnsi="Times New Roman"/>
          <w:b/>
        </w:rPr>
        <w:t>2.2</w:t>
      </w:r>
      <w:r w:rsidRPr="00037C76">
        <w:rPr>
          <w:rFonts w:ascii="Times New Roman" w:hAnsi="Times New Roman"/>
        </w:rPr>
        <w:tab/>
        <w:t xml:space="preserve">The A/E shall present the project to the VE team.  At a minimum the A/E shall describe the program, functional requirements, alternatives </w:t>
      </w:r>
      <w:r w:rsidRPr="00037C76">
        <w:rPr>
          <w:rFonts w:ascii="Times New Roman" w:hAnsi="Times New Roman"/>
        </w:rPr>
        <w:lastRenderedPageBreak/>
        <w:t>considered, reasons current design decisions have been made, and description of how the project will evolve.</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821" w:hanging="821"/>
        <w:rPr>
          <w:rFonts w:ascii="Times New Roman" w:hAnsi="Times New Roman"/>
        </w:rPr>
      </w:pPr>
      <w:r w:rsidRPr="00037C76">
        <w:rPr>
          <w:rFonts w:ascii="Times New Roman" w:hAnsi="Times New Roman"/>
        </w:rPr>
        <w:tab/>
      </w:r>
      <w:r w:rsidRPr="00037C76">
        <w:rPr>
          <w:rFonts w:ascii="Times New Roman" w:hAnsi="Times New Roman"/>
          <w:b/>
        </w:rPr>
        <w:t>2.3</w:t>
      </w:r>
      <w:r w:rsidRPr="00037C76">
        <w:rPr>
          <w:rFonts w:ascii="Times New Roman" w:hAnsi="Times New Roman"/>
        </w:rPr>
        <w:tab/>
        <w:t>The VE team shall review the Energy Life Cycle Cost Analysis (ELCCA) report presented by the ELCCA analyst and include the recommendations of that report in the VE report.  The VE team may recommend additional alternatives to be analyzed prior to final acceptance of the ELCCA report.</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821" w:hanging="821"/>
        <w:rPr>
          <w:rFonts w:ascii="Times New Roman" w:hAnsi="Times New Roman"/>
        </w:rPr>
      </w:pPr>
      <w:r w:rsidRPr="00037C76">
        <w:rPr>
          <w:rFonts w:ascii="Times New Roman" w:hAnsi="Times New Roman"/>
        </w:rPr>
        <w:tab/>
      </w:r>
      <w:r w:rsidRPr="00037C76">
        <w:rPr>
          <w:rFonts w:ascii="Times New Roman" w:hAnsi="Times New Roman"/>
          <w:b/>
        </w:rPr>
        <w:t>2.4</w:t>
      </w:r>
      <w:r w:rsidRPr="00037C76">
        <w:rPr>
          <w:rFonts w:ascii="Times New Roman" w:hAnsi="Times New Roman"/>
        </w:rPr>
        <w:tab/>
        <w:t>The A/E shall review the VE team's findings and recommendations, assist the VE team in explaining the findings and recommendations to the building Owner, and assist the Owner in deciding which recommendations to accept.</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821" w:hanging="821"/>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821" w:hanging="821"/>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821" w:hanging="821"/>
        <w:rPr>
          <w:rFonts w:ascii="Times New Roman" w:hAnsi="Times New Roman"/>
        </w:rPr>
      </w:pPr>
      <w:r w:rsidRPr="00037C76">
        <w:rPr>
          <w:rFonts w:ascii="Times New Roman" w:hAnsi="Times New Roman"/>
        </w:rPr>
        <w:tab/>
      </w:r>
      <w:r w:rsidRPr="00037C76">
        <w:rPr>
          <w:rFonts w:ascii="Times New Roman" w:hAnsi="Times New Roman"/>
          <w:b/>
        </w:rPr>
        <w:t>2.5</w:t>
      </w:r>
      <w:r w:rsidRPr="00037C76">
        <w:rPr>
          <w:rFonts w:ascii="Times New Roman" w:hAnsi="Times New Roman"/>
        </w:rPr>
        <w:tab/>
        <w:t>The A/E shall be responsible for incorporating the approved recommendations into the contract documents.</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r w:rsidRPr="00037C76">
        <w:rPr>
          <w:rFonts w:ascii="Times New Roman" w:hAnsi="Times New Roman"/>
          <w:b/>
          <w:sz w:val="24"/>
          <w:u w:val="single"/>
        </w:rPr>
        <w:t>3.0</w:t>
      </w:r>
      <w:r w:rsidRPr="00037C76">
        <w:rPr>
          <w:rFonts w:ascii="Times New Roman" w:hAnsi="Times New Roman"/>
          <w:b/>
          <w:sz w:val="24"/>
          <w:u w:val="single"/>
        </w:rPr>
        <w:tab/>
        <w:t>A/E Involvement</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tabs>
          <w:tab w:val="left" w:pos="-1440"/>
          <w:tab w:val="left" w:pos="-720"/>
          <w:tab w:val="left" w:pos="0"/>
          <w:tab w:val="left" w:pos="277"/>
          <w:tab w:val="left" w:pos="554"/>
          <w:tab w:val="left" w:pos="821"/>
          <w:tab w:val="left" w:pos="1109"/>
        </w:tabs>
        <w:suppressAutoHyphens/>
        <w:ind w:left="277" w:hanging="277"/>
        <w:rPr>
          <w:rFonts w:ascii="Times New Roman" w:hAnsi="Times New Roman"/>
        </w:rPr>
      </w:pPr>
      <w:r w:rsidRPr="00037C76">
        <w:rPr>
          <w:rFonts w:ascii="Times New Roman" w:hAnsi="Times New Roman"/>
        </w:rPr>
        <w:tab/>
        <w:t>The time spent by the A/E in preparing the VE team to conduct the study and the time required to incorporate the VE suggestions, accepted by the agency, into the previously approved documents are considered an extra service.</w:t>
      </w:r>
    </w:p>
    <w:p w:rsidR="007925A1" w:rsidRPr="00037C76" w:rsidRDefault="007925A1" w:rsidP="007925A1">
      <w:pPr>
        <w:tabs>
          <w:tab w:val="left" w:pos="-1440"/>
          <w:tab w:val="left" w:pos="-720"/>
          <w:tab w:val="left" w:pos="0"/>
          <w:tab w:val="left" w:pos="277"/>
          <w:tab w:val="left" w:pos="554"/>
          <w:tab w:val="left" w:pos="821"/>
          <w:tab w:val="left" w:pos="1109"/>
        </w:tabs>
        <w:suppressAutoHyphens/>
        <w:rPr>
          <w:rFonts w:ascii="Times New Roman" w:hAnsi="Times New Roman"/>
        </w:rPr>
      </w:pPr>
    </w:p>
    <w:p w:rsidR="007925A1" w:rsidRPr="00037C76" w:rsidRDefault="007925A1" w:rsidP="007925A1">
      <w:pPr>
        <w:rPr>
          <w:rFonts w:ascii="Times New Roman" w:hAnsi="Times New Roman"/>
        </w:rPr>
      </w:pPr>
    </w:p>
    <w:p w:rsidR="0060457B" w:rsidRPr="00037C76" w:rsidRDefault="0060457B">
      <w:pPr>
        <w:rPr>
          <w:rFonts w:ascii="Times New Roman" w:hAnsi="Times New Roman"/>
        </w:rPr>
      </w:pPr>
      <w:bookmarkStart w:id="0" w:name="_GoBack"/>
      <w:bookmarkEnd w:id="0"/>
    </w:p>
    <w:sectPr w:rsidR="0060457B" w:rsidRPr="00037C76" w:rsidSect="0060457B">
      <w:headerReference w:type="even"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F6B" w:rsidRDefault="002A3F6B" w:rsidP="002A3F6B">
      <w:r>
        <w:separator/>
      </w:r>
    </w:p>
  </w:endnote>
  <w:endnote w:type="continuationSeparator" w:id="0">
    <w:p w:rsidR="002A3F6B" w:rsidRDefault="002A3F6B" w:rsidP="002A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N)">
    <w:panose1 w:val="00000000000000000000"/>
    <w:charset w:val="00"/>
    <w:family w:val="swiss"/>
    <w:notTrueType/>
    <w:pitch w:val="variable"/>
    <w:sig w:usb0="00000003" w:usb1="00000000" w:usb2="00000000" w:usb3="00000000" w:csb0="00000001" w:csb1="00000000"/>
  </w:font>
  <w:font w:name="CG Times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6B" w:rsidRDefault="002A3F6B">
    <w:pPr>
      <w:spacing w:before="140" w:line="100" w:lineRule="exact"/>
      <w:rPr>
        <w:sz w:val="10"/>
      </w:rPr>
    </w:pPr>
  </w:p>
  <w:p w:rsidR="002A3F6B" w:rsidRDefault="00B20552">
    <w:pPr>
      <w:tabs>
        <w:tab w:val="left" w:pos="-720"/>
      </w:tabs>
      <w:suppressAutoHyphens/>
      <w:spacing w:line="5" w:lineRule="exact"/>
      <w:rPr>
        <w:rFonts w:ascii="CG Times Italic" w:hAnsi="CG Times Italic"/>
        <w:i/>
      </w:rPr>
    </w:pPr>
    <w:r>
      <w:rPr>
        <w:rFonts w:ascii="Times New Roman" w:hAnsi="Times New Roman"/>
        <w:noProof/>
      </w:rPr>
      <mc:AlternateContent>
        <mc:Choice Requires="wps">
          <w:drawing>
            <wp:anchor distT="0" distB="0" distL="114300" distR="114300" simplePos="0" relativeHeight="251657728" behindDoc="1" locked="0" layoutInCell="0" allowOverlap="1">
              <wp:simplePos x="0" y="0"/>
              <wp:positionH relativeFrom="margin">
                <wp:posOffset>0</wp:posOffset>
              </wp:positionH>
              <wp:positionV relativeFrom="paragraph">
                <wp:posOffset>0</wp:posOffset>
              </wp:positionV>
              <wp:extent cx="5943600" cy="31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17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8FB2B" id="Rectangle 1" o:spid="_x0000_s1026" style="position:absolute;margin-left:0;margin-top:0;width:468pt;height:.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" o:allowincell="f" fillcolor="black" stroked="f" strokeweight=".05pt">
              <w10:wrap anchorx="margin"/>
            </v:rect>
          </w:pict>
        </mc:Fallback>
      </mc:AlternateContent>
    </w:r>
  </w:p>
  <w:p w:rsidR="002A3F6B" w:rsidRDefault="007925A1">
    <w:pPr>
      <w:tabs>
        <w:tab w:val="center" w:pos="4680"/>
        <w:tab w:val="right" w:pos="9360"/>
      </w:tabs>
      <w:suppressAutoHyphens/>
      <w:rPr>
        <w:rFonts w:ascii="CG Times Italic" w:hAnsi="CG Times Italic"/>
        <w:i/>
      </w:rPr>
    </w:pPr>
    <w:r>
      <w:rPr>
        <w:rFonts w:ascii="CG Times Italic" w:hAnsi="CG Times Italic"/>
        <w:i/>
      </w:rPr>
      <w:t xml:space="preserve">page </w:t>
    </w:r>
    <w:r w:rsidR="002A3F6B">
      <w:rPr>
        <w:rFonts w:ascii="CG Times Italic" w:hAnsi="CG Times Italic"/>
        <w:i/>
      </w:rPr>
      <w:fldChar w:fldCharType="begin"/>
    </w:r>
    <w:r>
      <w:rPr>
        <w:rFonts w:ascii="CG Times Italic" w:hAnsi="CG Times Italic"/>
        <w:i/>
      </w:rPr>
      <w:instrText>page \* arabic</w:instrText>
    </w:r>
    <w:r w:rsidR="002A3F6B">
      <w:rPr>
        <w:rFonts w:ascii="CG Times Italic" w:hAnsi="CG Times Italic"/>
        <w:i/>
      </w:rPr>
      <w:fldChar w:fldCharType="separate"/>
    </w:r>
    <w:r>
      <w:rPr>
        <w:rFonts w:ascii="CG Times Italic" w:hAnsi="CG Times Italic"/>
        <w:i/>
      </w:rPr>
      <w:t>1</w:t>
    </w:r>
    <w:r w:rsidR="002A3F6B">
      <w:rPr>
        <w:rFonts w:ascii="CG Times Italic" w:hAnsi="CG Times Italic"/>
        <w:i/>
      </w:rPr>
      <w:fldChar w:fldCharType="end"/>
    </w:r>
    <w:r>
      <w:rPr>
        <w:rFonts w:ascii="CG Times Italic" w:hAnsi="CG Times Italic"/>
        <w:i/>
      </w:rPr>
      <w:t xml:space="preserve"> of ?</w:t>
    </w:r>
    <w:r>
      <w:rPr>
        <w:rFonts w:ascii="CG Times Italic" w:hAnsi="CG Times Italic"/>
        <w:i/>
      </w:rPr>
      <w:tab/>
      <w:t>APPENDIX XII</w:t>
    </w:r>
    <w:r>
      <w:rPr>
        <w:rFonts w:ascii="CG Times Italic" w:hAnsi="CG Times Italic"/>
        <w:i/>
      </w:rPr>
      <w:tab/>
      <w:t>September, 1992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6B" w:rsidRDefault="007925A1">
    <w:pPr>
      <w:pStyle w:val="Footer"/>
    </w:pPr>
    <w:r>
      <w:t>___________________________________________________________________________________</w:t>
    </w:r>
  </w:p>
  <w:p w:rsidR="002A3F6B" w:rsidRPr="00037C76" w:rsidRDefault="00037C76" w:rsidP="00037C76">
    <w:pPr>
      <w:tabs>
        <w:tab w:val="center" w:pos="4680"/>
      </w:tabs>
      <w:suppressAutoHyphens/>
      <w:rPr>
        <w:rFonts w:ascii="Times New Roman" w:hAnsi="Times New Roman"/>
      </w:rPr>
    </w:pPr>
    <w:r w:rsidRPr="00037C76">
      <w:rPr>
        <w:rFonts w:ascii="Times New Roman" w:hAnsi="Times New Roman"/>
        <w:sz w:val="22"/>
        <w:szCs w:val="22"/>
      </w:rPr>
      <w:t>Value Engineering Guidelines</w:t>
    </w:r>
    <w:r w:rsidRPr="00037C76">
      <w:rPr>
        <w:rFonts w:ascii="Times New Roman" w:hAnsi="Times New Roman"/>
        <w:sz w:val="22"/>
        <w:szCs w:val="22"/>
      </w:rPr>
      <w:tab/>
    </w:r>
    <w:r w:rsidRPr="00037C76">
      <w:rPr>
        <w:rFonts w:ascii="Times New Roman" w:hAnsi="Times New Roman"/>
        <w:sz w:val="22"/>
        <w:szCs w:val="22"/>
      </w:rPr>
      <w:tab/>
    </w:r>
    <w:r w:rsidRPr="00037C76">
      <w:rPr>
        <w:rFonts w:ascii="Times New Roman" w:hAnsi="Times New Roman"/>
        <w:sz w:val="22"/>
        <w:szCs w:val="22"/>
      </w:rPr>
      <w:tab/>
    </w:r>
    <w:r w:rsidRPr="00037C76">
      <w:rPr>
        <w:rFonts w:ascii="Times New Roman" w:hAnsi="Times New Roman"/>
        <w:sz w:val="22"/>
        <w:szCs w:val="22"/>
      </w:rPr>
      <w:tab/>
    </w:r>
    <w:r w:rsidRPr="00037C76">
      <w:rPr>
        <w:rFonts w:ascii="Times New Roman" w:hAnsi="Times New Roman"/>
        <w:sz w:val="22"/>
        <w:szCs w:val="22"/>
      </w:rPr>
      <w:tab/>
    </w:r>
    <w:r w:rsidR="007925A1" w:rsidRPr="00037C76">
      <w:rPr>
        <w:rFonts w:ascii="Times New Roman" w:hAnsi="Times New Roman"/>
      </w:rPr>
      <w:tab/>
    </w:r>
    <w:r w:rsidR="007925A1" w:rsidRPr="00037C76">
      <w:rPr>
        <w:rFonts w:ascii="Times New Roman" w:hAnsi="Times New Roman"/>
      </w:rPr>
      <w:tab/>
    </w:r>
    <w:r w:rsidR="002A3F6B" w:rsidRPr="00037C76">
      <w:rPr>
        <w:rStyle w:val="PageNumber"/>
        <w:rFonts w:ascii="Times New Roman" w:hAnsi="Times New Roman"/>
      </w:rPr>
      <w:fldChar w:fldCharType="begin"/>
    </w:r>
    <w:r w:rsidR="007925A1" w:rsidRPr="00037C76">
      <w:rPr>
        <w:rStyle w:val="PageNumber"/>
        <w:rFonts w:ascii="Times New Roman" w:hAnsi="Times New Roman"/>
      </w:rPr>
      <w:instrText xml:space="preserve"> PAGE </w:instrText>
    </w:r>
    <w:r w:rsidR="002A3F6B" w:rsidRPr="00037C76">
      <w:rPr>
        <w:rStyle w:val="PageNumber"/>
        <w:rFonts w:ascii="Times New Roman" w:hAnsi="Times New Roman"/>
      </w:rPr>
      <w:fldChar w:fldCharType="separate"/>
    </w:r>
    <w:r w:rsidR="00B20552">
      <w:rPr>
        <w:rStyle w:val="PageNumber"/>
        <w:rFonts w:ascii="Times New Roman" w:hAnsi="Times New Roman"/>
        <w:noProof/>
      </w:rPr>
      <w:t>1</w:t>
    </w:r>
    <w:r w:rsidR="002A3F6B" w:rsidRPr="00037C76">
      <w:rPr>
        <w:rStyle w:val="PageNumber"/>
        <w:rFonts w:ascii="Times New Roman" w:hAnsi="Times New Roman"/>
      </w:rPr>
      <w:fldChar w:fldCharType="end"/>
    </w:r>
  </w:p>
  <w:p w:rsidR="002A3F6B" w:rsidRDefault="00B20552">
    <w:pPr>
      <w:pStyle w:val="Footer"/>
    </w:pPr>
    <w:r>
      <w:tab/>
    </w:r>
    <w:r>
      <w:tab/>
    </w:r>
    <w:r w:rsidRPr="00B17B0C">
      <w:rPr>
        <w:rFonts w:ascii="Times New Roman" w:hAnsi="Times New Roman"/>
        <w:sz w:val="18"/>
      </w:rPr>
      <w:t>Updated Jan 30,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F6B" w:rsidRDefault="002A3F6B" w:rsidP="002A3F6B">
      <w:r>
        <w:separator/>
      </w:r>
    </w:p>
  </w:footnote>
  <w:footnote w:type="continuationSeparator" w:id="0">
    <w:p w:rsidR="002A3F6B" w:rsidRDefault="002A3F6B" w:rsidP="002A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F6B" w:rsidRDefault="007925A1">
    <w:pPr>
      <w:tabs>
        <w:tab w:val="right" w:pos="9360"/>
      </w:tabs>
      <w:suppressAutoHyphens/>
      <w:rPr>
        <w:rFonts w:ascii="CG Times Italic" w:hAnsi="CG Times Italic"/>
        <w:i/>
      </w:rPr>
    </w:pPr>
    <w:r>
      <w:rPr>
        <w:rFonts w:ascii="CG Times Italic" w:hAnsi="CG Times Italic"/>
        <w:i/>
        <w:u w:val="single"/>
      </w:rPr>
      <w:t>Value Engineering Guidelines</w:t>
    </w:r>
    <w:r>
      <w:rPr>
        <w:rFonts w:ascii="CG Times Italic" w:hAnsi="CG Times Italic"/>
        <w:i/>
        <w:u w:val="single"/>
      </w:rPr>
      <w:tab/>
    </w:r>
  </w:p>
  <w:p w:rsidR="002A3F6B" w:rsidRDefault="002A3F6B">
    <w:pPr>
      <w:spacing w:after="140" w:line="100" w:lineRule="exact"/>
      <w:rPr>
        <w:sz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74"/>
    <w:rsid w:val="00037C76"/>
    <w:rsid w:val="002A3F6B"/>
    <w:rsid w:val="0060457B"/>
    <w:rsid w:val="00742316"/>
    <w:rsid w:val="007925A1"/>
    <w:rsid w:val="009C0B74"/>
    <w:rsid w:val="00B20552"/>
    <w:rsid w:val="00F2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E800677-C598-412C-9D66-07384F16E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5A1"/>
    <w:pPr>
      <w:widowControl w:val="0"/>
      <w:spacing w:after="0" w:line="240" w:lineRule="auto"/>
    </w:pPr>
    <w:rPr>
      <w:rFonts w:ascii="Univers (WN)" w:eastAsia="Times New Roman" w:hAnsi="Univers (W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925A1"/>
    <w:pPr>
      <w:tabs>
        <w:tab w:val="center" w:pos="4320"/>
        <w:tab w:val="right" w:pos="8640"/>
      </w:tabs>
    </w:pPr>
  </w:style>
  <w:style w:type="character" w:customStyle="1" w:styleId="FooterChar">
    <w:name w:val="Footer Char"/>
    <w:basedOn w:val="DefaultParagraphFont"/>
    <w:link w:val="Footer"/>
    <w:semiHidden/>
    <w:rsid w:val="007925A1"/>
    <w:rPr>
      <w:rFonts w:ascii="Univers (WN)" w:eastAsia="Times New Roman" w:hAnsi="Univers (WN)" w:cs="Times New Roman"/>
      <w:sz w:val="20"/>
      <w:szCs w:val="20"/>
    </w:rPr>
  </w:style>
  <w:style w:type="paragraph" w:styleId="Header">
    <w:name w:val="header"/>
    <w:basedOn w:val="Normal"/>
    <w:link w:val="HeaderChar"/>
    <w:semiHidden/>
    <w:rsid w:val="007925A1"/>
    <w:pPr>
      <w:tabs>
        <w:tab w:val="center" w:pos="4320"/>
        <w:tab w:val="right" w:pos="8640"/>
      </w:tabs>
    </w:pPr>
  </w:style>
  <w:style w:type="character" w:customStyle="1" w:styleId="HeaderChar">
    <w:name w:val="Header Char"/>
    <w:basedOn w:val="DefaultParagraphFont"/>
    <w:link w:val="Header"/>
    <w:semiHidden/>
    <w:rsid w:val="007925A1"/>
    <w:rPr>
      <w:rFonts w:ascii="Univers (WN)" w:eastAsia="Times New Roman" w:hAnsi="Univers (WN)" w:cs="Times New Roman"/>
      <w:sz w:val="20"/>
      <w:szCs w:val="20"/>
    </w:rPr>
  </w:style>
  <w:style w:type="character" w:styleId="PageNumber">
    <w:name w:val="page number"/>
    <w:basedOn w:val="DefaultParagraphFont"/>
    <w:semiHidden/>
    <w:rsid w:val="00792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b5d7b00-834a-4efe-8968-9d97478a3691">EWUPACEUPKES-170-11183</_dlc_DocId>
    <_dlc_DocIdUrl xmlns="ab5d7b00-834a-4efe-8968-9d97478a3691">
      <Url>http://stage-des/_layouts/DocIdRedir.aspx?ID=EWUPACEUPKES-170-11183</Url>
      <Description>EWUPACEUPKES-170-11183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417d0c62ca7cc7340a780b8273b09c1b">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2ceb868e2ba9563f7e35cb39d6fa7c3a"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407EE-2144-450A-AEFC-21F28D684818}">
  <ds:schemaRefs>
    <ds:schemaRef ds:uri="http://purl.org/dc/terms/"/>
    <ds:schemaRef ds:uri="http://schemas.microsoft.com/office/2006/metadata/properties"/>
    <ds:schemaRef ds:uri="http://schemas.microsoft.com/office/2006/documentManagement/types"/>
    <ds:schemaRef ds:uri="http://schemas.microsoft.com/sharepoint/v3"/>
    <ds:schemaRef ds:uri="ab5d7b00-834a-4efe-8968-9d97478a3691"/>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B8F033-3EE8-4F88-B840-277620A1C34C}">
  <ds:schemaRefs>
    <ds:schemaRef ds:uri="http://schemas.microsoft.com/sharepoint/events"/>
  </ds:schemaRefs>
</ds:datastoreItem>
</file>

<file path=customXml/itemProps3.xml><?xml version="1.0" encoding="utf-8"?>
<ds:datastoreItem xmlns:ds="http://schemas.openxmlformats.org/officeDocument/2006/customXml" ds:itemID="{BDAD6B5E-E387-484F-BF6C-1F2F85262A9B}">
  <ds:schemaRefs>
    <ds:schemaRef ds:uri="http://schemas.microsoft.com/sharepoint/v3/contenttype/forms"/>
  </ds:schemaRefs>
</ds:datastoreItem>
</file>

<file path=customXml/itemProps4.xml><?xml version="1.0" encoding="utf-8"?>
<ds:datastoreItem xmlns:ds="http://schemas.openxmlformats.org/officeDocument/2006/customXml" ds:itemID="{634AEBAA-2B70-4308-9723-28DDC2A98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Value Engineering Guidelines</vt:lpstr>
    </vt:vector>
  </TitlesOfParts>
  <Company>DSHS</Company>
  <LinksUpToDate>false</LinksUpToDate>
  <CharactersWithSpaces>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Guidelines</dc:title>
  <dc:subject/>
  <dc:creator>bessedy</dc:creator>
  <cp:keywords/>
  <dc:description/>
  <cp:lastModifiedBy>Young, Aaron A. 'DES' (DOC)</cp:lastModifiedBy>
  <cp:revision>2</cp:revision>
  <dcterms:created xsi:type="dcterms:W3CDTF">2020-01-30T18:28:00Z</dcterms:created>
  <dcterms:modified xsi:type="dcterms:W3CDTF">2020-01-30T18:28:00Z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_dlc_DocIdItemGuid">
    <vt:lpwstr>1fd10cb2-67e2-4cb6-b94c-c655cf821128</vt:lpwstr>
  </property>
</Properties>
</file>