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D61ED" w14:textId="1A4BCB70" w:rsidR="00D00920" w:rsidRDefault="009940AF">
      <w:pPr>
        <w:pStyle w:val="BodyText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55072" behindDoc="1" locked="0" layoutInCell="1" allowOverlap="1" wp14:anchorId="635F52C8" wp14:editId="5AF7A1AA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33477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52A7C0" w14:textId="77777777" w:rsidR="00D00920" w:rsidRDefault="00D00920">
      <w:pPr>
        <w:pStyle w:val="BodyText"/>
        <w:rPr>
          <w:rFonts w:ascii="Times New Roman"/>
          <w:sz w:val="20"/>
        </w:rPr>
      </w:pPr>
    </w:p>
    <w:p w14:paraId="10FA44E6" w14:textId="77777777" w:rsidR="00D00920" w:rsidRPr="00280C3E" w:rsidRDefault="00D00920">
      <w:pPr>
        <w:pStyle w:val="BodyText"/>
        <w:rPr>
          <w:rFonts w:ascii="Times New Roman"/>
          <w:sz w:val="18"/>
        </w:rPr>
      </w:pPr>
    </w:p>
    <w:p w14:paraId="6C31DE5B" w14:textId="77777777" w:rsidR="00D00920" w:rsidRPr="00280C3E" w:rsidRDefault="00D00920">
      <w:pPr>
        <w:pStyle w:val="BodyText"/>
        <w:rPr>
          <w:rFonts w:ascii="Times New Roman"/>
          <w:sz w:val="18"/>
        </w:rPr>
      </w:pPr>
    </w:p>
    <w:p w14:paraId="457C9206" w14:textId="77777777" w:rsidR="001B500A" w:rsidRPr="00665585" w:rsidRDefault="008769CB" w:rsidP="008564D5">
      <w:pPr>
        <w:pStyle w:val="Title"/>
        <w:spacing w:before="0"/>
        <w:ind w:left="0" w:right="0" w:firstLine="0"/>
        <w:jc w:val="center"/>
        <w:rPr>
          <w:b/>
          <w:bCs/>
          <w:spacing w:val="-9"/>
          <w:sz w:val="24"/>
        </w:rPr>
      </w:pPr>
      <w:r w:rsidRPr="00665585">
        <w:rPr>
          <w:b/>
          <w:bCs/>
          <w:spacing w:val="-10"/>
          <w:sz w:val="24"/>
        </w:rPr>
        <w:t>Meeting Summary</w:t>
      </w:r>
      <w:r w:rsidRPr="00665585">
        <w:rPr>
          <w:b/>
          <w:bCs/>
          <w:spacing w:val="-22"/>
          <w:sz w:val="24"/>
        </w:rPr>
        <w:t xml:space="preserve"> </w:t>
      </w:r>
      <w:r w:rsidRPr="00665585">
        <w:rPr>
          <w:b/>
          <w:bCs/>
          <w:spacing w:val="-9"/>
          <w:sz w:val="24"/>
        </w:rPr>
        <w:t>–</w:t>
      </w:r>
      <w:r w:rsidRPr="00665585">
        <w:rPr>
          <w:b/>
          <w:bCs/>
          <w:spacing w:val="-20"/>
          <w:sz w:val="24"/>
        </w:rPr>
        <w:t xml:space="preserve"> </w:t>
      </w:r>
      <w:r w:rsidRPr="00665585">
        <w:rPr>
          <w:b/>
          <w:bCs/>
          <w:spacing w:val="-9"/>
          <w:sz w:val="24"/>
        </w:rPr>
        <w:t xml:space="preserve">Legislative Campus Modernization (LCM) </w:t>
      </w:r>
    </w:p>
    <w:p w14:paraId="4387732C" w14:textId="35D410EA" w:rsidR="008769CB" w:rsidRPr="00665585" w:rsidRDefault="00A77272" w:rsidP="008564D5">
      <w:pPr>
        <w:pStyle w:val="Title"/>
        <w:spacing w:before="0"/>
        <w:ind w:left="0" w:right="0" w:firstLine="0"/>
        <w:jc w:val="center"/>
        <w:rPr>
          <w:b/>
          <w:bCs/>
          <w:sz w:val="23"/>
          <w:szCs w:val="23"/>
        </w:rPr>
      </w:pPr>
      <w:r w:rsidRPr="00665585">
        <w:rPr>
          <w:b/>
          <w:bCs/>
          <w:spacing w:val="-9"/>
          <w:sz w:val="24"/>
        </w:rPr>
        <w:t xml:space="preserve">Stakeholder Meeting </w:t>
      </w:r>
      <w:r w:rsidR="004C05DF" w:rsidRPr="00665585">
        <w:rPr>
          <w:b/>
          <w:bCs/>
          <w:spacing w:val="-9"/>
          <w:sz w:val="24"/>
        </w:rPr>
        <w:t>#10</w:t>
      </w:r>
    </w:p>
    <w:p w14:paraId="6641AE4E" w14:textId="77777777" w:rsidR="008564D5" w:rsidRPr="008564D5" w:rsidRDefault="008564D5" w:rsidP="008564D5">
      <w:pPr>
        <w:pStyle w:val="Title"/>
        <w:spacing w:before="0"/>
        <w:ind w:left="0" w:right="0" w:firstLine="0"/>
        <w:jc w:val="center"/>
        <w:rPr>
          <w:spacing w:val="-9"/>
          <w:sz w:val="24"/>
        </w:rPr>
      </w:pPr>
    </w:p>
    <w:p w14:paraId="327BC4A2" w14:textId="04D4AB69" w:rsidR="00D00920" w:rsidRPr="00B76FF0" w:rsidRDefault="009940AF" w:rsidP="008769CB">
      <w:pPr>
        <w:spacing w:after="240" w:line="237" w:lineRule="auto"/>
        <w:rPr>
          <w:b/>
        </w:rPr>
      </w:pPr>
      <w:r w:rsidRPr="00B76FF0">
        <w:rPr>
          <w:b/>
        </w:rPr>
        <w:t>Meeting date:</w:t>
      </w:r>
      <w:r w:rsidR="004C05DF">
        <w:rPr>
          <w:b/>
        </w:rPr>
        <w:t xml:space="preserve"> June 23, 2022 3:30</w:t>
      </w:r>
      <w:r w:rsidRPr="00B76FF0">
        <w:rPr>
          <w:b/>
        </w:rPr>
        <w:t xml:space="preserve"> </w:t>
      </w:r>
      <w:r w:rsidR="004C05DF">
        <w:rPr>
          <w:b/>
        </w:rPr>
        <w:t>pm</w:t>
      </w:r>
      <w:r w:rsidR="00C63EA5" w:rsidRPr="00B76FF0">
        <w:rPr>
          <w:b/>
        </w:rPr>
        <w:t xml:space="preserve"> via Zoom</w:t>
      </w:r>
    </w:p>
    <w:p w14:paraId="5AD28745" w14:textId="1A14A927" w:rsidR="00054373" w:rsidRPr="00F63483" w:rsidRDefault="00235B40" w:rsidP="006029DA">
      <w:pPr>
        <w:spacing w:after="240" w:line="237" w:lineRule="auto"/>
        <w:rPr>
          <w:bCs/>
        </w:rPr>
      </w:pPr>
      <w:r w:rsidRPr="00B76FF0">
        <w:rPr>
          <w:b/>
        </w:rPr>
        <w:t>Attendees:</w:t>
      </w:r>
      <w:r w:rsidRPr="00F63483">
        <w:rPr>
          <w:bCs/>
        </w:rPr>
        <w:t xml:space="preserve"> </w:t>
      </w:r>
      <w:r w:rsidR="00054373">
        <w:rPr>
          <w:bCs/>
        </w:rPr>
        <w:t>John S</w:t>
      </w:r>
      <w:r w:rsidR="00C10FCB">
        <w:rPr>
          <w:bCs/>
        </w:rPr>
        <w:t>a</w:t>
      </w:r>
      <w:r w:rsidR="00054373">
        <w:rPr>
          <w:bCs/>
        </w:rPr>
        <w:t>unders, Kevin Pierce, Brent Chapman</w:t>
      </w:r>
      <w:r w:rsidR="00460546">
        <w:rPr>
          <w:bCs/>
        </w:rPr>
        <w:t xml:space="preserve"> (DES)</w:t>
      </w:r>
      <w:r w:rsidR="00054373">
        <w:rPr>
          <w:bCs/>
        </w:rPr>
        <w:t>, Andrew Staubitz, Christine Traber, Mike Sweney, Craig McKissick, Nick Clesi, Linda Kent</w:t>
      </w:r>
      <w:r w:rsidR="00460546">
        <w:rPr>
          <w:bCs/>
        </w:rPr>
        <w:t xml:space="preserve"> (DES)</w:t>
      </w:r>
      <w:r w:rsidR="00054373">
        <w:rPr>
          <w:bCs/>
        </w:rPr>
        <w:t>, Clarissa Easton</w:t>
      </w:r>
      <w:r w:rsidR="00460546">
        <w:rPr>
          <w:bCs/>
        </w:rPr>
        <w:t xml:space="preserve"> (DES)</w:t>
      </w:r>
      <w:r w:rsidR="00054373">
        <w:rPr>
          <w:bCs/>
        </w:rPr>
        <w:t>, Sidney Hunt</w:t>
      </w:r>
      <w:r w:rsidR="00460546">
        <w:rPr>
          <w:bCs/>
        </w:rPr>
        <w:t xml:space="preserve"> (DES)</w:t>
      </w:r>
      <w:r w:rsidR="00054373">
        <w:rPr>
          <w:bCs/>
        </w:rPr>
        <w:t>, Ariel Birtley</w:t>
      </w:r>
      <w:r w:rsidR="00460546">
        <w:rPr>
          <w:bCs/>
        </w:rPr>
        <w:t xml:space="preserve"> (DES)</w:t>
      </w:r>
      <w:r w:rsidR="00054373">
        <w:rPr>
          <w:bCs/>
        </w:rPr>
        <w:t>, Ann Larson</w:t>
      </w:r>
      <w:r w:rsidR="00460546">
        <w:rPr>
          <w:bCs/>
        </w:rPr>
        <w:t xml:space="preserve"> (DES)</w:t>
      </w:r>
      <w:r w:rsidR="00054373">
        <w:rPr>
          <w:bCs/>
        </w:rPr>
        <w:t>, Ruth Baleiko, Sarah Dettmer</w:t>
      </w:r>
      <w:r w:rsidR="00460546">
        <w:rPr>
          <w:bCs/>
        </w:rPr>
        <w:t xml:space="preserve"> (DES)</w:t>
      </w:r>
      <w:r w:rsidR="00054373">
        <w:rPr>
          <w:bCs/>
        </w:rPr>
        <w:t xml:space="preserve">, Randy </w:t>
      </w:r>
      <w:proofErr w:type="spellStart"/>
      <w:r w:rsidR="00054373">
        <w:rPr>
          <w:bCs/>
        </w:rPr>
        <w:t>Bolerjack</w:t>
      </w:r>
      <w:proofErr w:type="spellEnd"/>
      <w:r w:rsidR="00054373">
        <w:rPr>
          <w:bCs/>
        </w:rPr>
        <w:t>, Kim Jorgenson, Debbie Ramos, Julie Nakahara, James Crandall, Stephanie Barnett, Michael Sullivan, John Lyons</w:t>
      </w:r>
      <w:r w:rsidR="00460546">
        <w:rPr>
          <w:bCs/>
        </w:rPr>
        <w:t xml:space="preserve"> (DES)</w:t>
      </w:r>
      <w:r w:rsidR="00054373">
        <w:rPr>
          <w:bCs/>
        </w:rPr>
        <w:t xml:space="preserve">, Keith Michel, Marygrace </w:t>
      </w:r>
      <w:proofErr w:type="spellStart"/>
      <w:r w:rsidR="00054373">
        <w:rPr>
          <w:bCs/>
        </w:rPr>
        <w:t>Goddu</w:t>
      </w:r>
      <w:proofErr w:type="spellEnd"/>
      <w:r w:rsidR="00054373">
        <w:rPr>
          <w:bCs/>
        </w:rPr>
        <w:t>, Colleen Rust</w:t>
      </w:r>
      <w:r w:rsidR="00460546">
        <w:rPr>
          <w:bCs/>
        </w:rPr>
        <w:t xml:space="preserve"> (DES)</w:t>
      </w:r>
      <w:r w:rsidR="00054373">
        <w:rPr>
          <w:bCs/>
        </w:rPr>
        <w:t>, Paul Parker, Eilean Davis, Lori Hewitt, Sharon Case, Rachel Newmann, Anne Knight, Ginny Streeter</w:t>
      </w:r>
      <w:r w:rsidR="00460546">
        <w:rPr>
          <w:bCs/>
        </w:rPr>
        <w:t xml:space="preserve"> (DES)</w:t>
      </w:r>
    </w:p>
    <w:p w14:paraId="5FB68411" w14:textId="29087779" w:rsidR="009C0FDA" w:rsidRPr="00665585" w:rsidRDefault="00612C20" w:rsidP="004C05DF">
      <w:pPr>
        <w:pStyle w:val="BodyText"/>
        <w:ind w:right="95"/>
        <w:rPr>
          <w:b/>
          <w:bCs/>
        </w:rPr>
      </w:pPr>
      <w:r w:rsidRPr="00665585">
        <w:rPr>
          <w:b/>
          <w:bCs/>
        </w:rPr>
        <w:t>Presenters:</w:t>
      </w:r>
    </w:p>
    <w:p w14:paraId="46F11B9F" w14:textId="61FEAD81" w:rsidR="00A655B6" w:rsidRDefault="00656BC8" w:rsidP="00836EE8">
      <w:pPr>
        <w:pStyle w:val="ListParagraph"/>
        <w:numPr>
          <w:ilvl w:val="0"/>
          <w:numId w:val="15"/>
        </w:numPr>
        <w:tabs>
          <w:tab w:val="left" w:pos="840"/>
          <w:tab w:val="left" w:pos="841"/>
        </w:tabs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Clarissa Easton, </w:t>
      </w:r>
      <w:r w:rsidR="00460546">
        <w:rPr>
          <w:rFonts w:eastAsiaTheme="minorHAnsi"/>
          <w:color w:val="000000"/>
        </w:rPr>
        <w:t xml:space="preserve">AIA, </w:t>
      </w:r>
      <w:r w:rsidR="00463D67">
        <w:rPr>
          <w:rFonts w:eastAsiaTheme="minorHAnsi"/>
          <w:color w:val="000000"/>
        </w:rPr>
        <w:t>LCM Project Director</w:t>
      </w:r>
    </w:p>
    <w:p w14:paraId="706C55E3" w14:textId="619956AF" w:rsidR="00836EE8" w:rsidRDefault="009C0FDA" w:rsidP="00836EE8">
      <w:pPr>
        <w:pStyle w:val="ListParagraph"/>
        <w:numPr>
          <w:ilvl w:val="0"/>
          <w:numId w:val="15"/>
        </w:numPr>
        <w:tabs>
          <w:tab w:val="left" w:pos="840"/>
          <w:tab w:val="left" w:pos="841"/>
        </w:tabs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Sidney Hunt</w:t>
      </w:r>
      <w:r w:rsidR="004C05DF">
        <w:rPr>
          <w:rFonts w:eastAsiaTheme="minorHAnsi"/>
          <w:color w:val="000000"/>
        </w:rPr>
        <w:t xml:space="preserve">, Project Manager, </w:t>
      </w:r>
      <w:r w:rsidR="00460546">
        <w:rPr>
          <w:rFonts w:eastAsiaTheme="minorHAnsi"/>
          <w:color w:val="000000"/>
        </w:rPr>
        <w:t xml:space="preserve">LCM </w:t>
      </w:r>
      <w:r w:rsidR="004C05DF">
        <w:rPr>
          <w:rFonts w:eastAsiaTheme="minorHAnsi"/>
          <w:color w:val="000000"/>
        </w:rPr>
        <w:t>Modular, Pritchard and O’Brien</w:t>
      </w:r>
    </w:p>
    <w:p w14:paraId="465E51C9" w14:textId="46468660" w:rsidR="009C0FDA" w:rsidRDefault="004C05DF" w:rsidP="004C05DF">
      <w:pPr>
        <w:pStyle w:val="ListParagraph"/>
        <w:numPr>
          <w:ilvl w:val="0"/>
          <w:numId w:val="15"/>
        </w:numPr>
        <w:tabs>
          <w:tab w:val="left" w:pos="840"/>
          <w:tab w:val="left" w:pos="841"/>
        </w:tabs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Ariel Birtley, Project Manager,</w:t>
      </w:r>
      <w:r w:rsidR="00460546">
        <w:rPr>
          <w:rFonts w:eastAsiaTheme="minorHAnsi"/>
          <w:color w:val="000000"/>
        </w:rPr>
        <w:t xml:space="preserve"> LCM</w:t>
      </w:r>
      <w:r>
        <w:rPr>
          <w:rFonts w:eastAsiaTheme="minorHAnsi"/>
          <w:color w:val="000000"/>
        </w:rPr>
        <w:t xml:space="preserve"> Newhouse Replacement Project</w:t>
      </w:r>
    </w:p>
    <w:p w14:paraId="61324BC1" w14:textId="234F6C3F" w:rsidR="004C05DF" w:rsidRDefault="004C05DF" w:rsidP="004C05DF">
      <w:pPr>
        <w:pStyle w:val="ListParagraph"/>
        <w:numPr>
          <w:ilvl w:val="0"/>
          <w:numId w:val="15"/>
        </w:numPr>
        <w:tabs>
          <w:tab w:val="left" w:pos="840"/>
          <w:tab w:val="left" w:pos="841"/>
        </w:tabs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Ann Larson, DES Government Affairs Director</w:t>
      </w:r>
    </w:p>
    <w:p w14:paraId="38F8817B" w14:textId="3DF28363" w:rsidR="00B320E5" w:rsidRDefault="00B320E5" w:rsidP="004C05DF">
      <w:pPr>
        <w:pStyle w:val="ListParagraph"/>
        <w:numPr>
          <w:ilvl w:val="0"/>
          <w:numId w:val="15"/>
        </w:numPr>
        <w:tabs>
          <w:tab w:val="left" w:pos="840"/>
          <w:tab w:val="left" w:pos="841"/>
        </w:tabs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 xml:space="preserve">Christine Traber, </w:t>
      </w:r>
      <w:r w:rsidR="00460546">
        <w:rPr>
          <w:rFonts w:eastAsiaTheme="minorHAnsi"/>
          <w:color w:val="000000"/>
        </w:rPr>
        <w:t xml:space="preserve">AIA </w:t>
      </w:r>
      <w:r>
        <w:rPr>
          <w:rFonts w:eastAsiaTheme="minorHAnsi"/>
          <w:color w:val="000000"/>
        </w:rPr>
        <w:t>Miller H</w:t>
      </w:r>
      <w:r w:rsidR="00460546">
        <w:rPr>
          <w:rFonts w:eastAsiaTheme="minorHAnsi"/>
          <w:color w:val="000000"/>
        </w:rPr>
        <w:t>u</w:t>
      </w:r>
      <w:r>
        <w:rPr>
          <w:rFonts w:eastAsiaTheme="minorHAnsi"/>
          <w:color w:val="000000"/>
        </w:rPr>
        <w:t>ll</w:t>
      </w:r>
    </w:p>
    <w:p w14:paraId="209EED18" w14:textId="1EB2AB47" w:rsidR="00B320E5" w:rsidRPr="004C05DF" w:rsidRDefault="00B320E5" w:rsidP="004C05DF">
      <w:pPr>
        <w:pStyle w:val="ListParagraph"/>
        <w:numPr>
          <w:ilvl w:val="0"/>
          <w:numId w:val="15"/>
        </w:numPr>
        <w:tabs>
          <w:tab w:val="left" w:pos="840"/>
          <w:tab w:val="left" w:pos="841"/>
        </w:tabs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Ruth Baleiko,</w:t>
      </w:r>
      <w:r w:rsidR="00AB1439">
        <w:rPr>
          <w:rFonts w:eastAsiaTheme="minorHAnsi"/>
          <w:color w:val="000000"/>
        </w:rPr>
        <w:t xml:space="preserve"> FAIA</w:t>
      </w:r>
      <w:r>
        <w:rPr>
          <w:rFonts w:eastAsiaTheme="minorHAnsi"/>
          <w:color w:val="000000"/>
        </w:rPr>
        <w:t xml:space="preserve"> Miller H</w:t>
      </w:r>
      <w:r w:rsidR="001F6849">
        <w:rPr>
          <w:rFonts w:eastAsiaTheme="minorHAnsi"/>
          <w:color w:val="000000"/>
        </w:rPr>
        <w:t>u</w:t>
      </w:r>
      <w:r>
        <w:rPr>
          <w:rFonts w:eastAsiaTheme="minorHAnsi"/>
          <w:color w:val="000000"/>
        </w:rPr>
        <w:t>ll</w:t>
      </w:r>
    </w:p>
    <w:p w14:paraId="07B125EF" w14:textId="77777777" w:rsidR="00836EE8" w:rsidRPr="00836EE8" w:rsidRDefault="00836EE8" w:rsidP="00836EE8">
      <w:pPr>
        <w:pStyle w:val="ListParagraph"/>
        <w:tabs>
          <w:tab w:val="left" w:pos="840"/>
          <w:tab w:val="left" w:pos="841"/>
        </w:tabs>
        <w:ind w:left="720" w:firstLine="0"/>
        <w:rPr>
          <w:rFonts w:eastAsiaTheme="minorHAnsi"/>
          <w:color w:val="000000"/>
        </w:rPr>
      </w:pPr>
    </w:p>
    <w:p w14:paraId="5E477E8D" w14:textId="205B3052" w:rsidR="008564D5" w:rsidRPr="00665585" w:rsidRDefault="007E441E" w:rsidP="00235B40">
      <w:pPr>
        <w:tabs>
          <w:tab w:val="left" w:pos="840"/>
          <w:tab w:val="left" w:pos="841"/>
        </w:tabs>
        <w:rPr>
          <w:b/>
          <w:bCs/>
        </w:rPr>
      </w:pPr>
      <w:bookmarkStart w:id="0" w:name="_Hlk106953811"/>
      <w:r w:rsidRPr="00665585">
        <w:rPr>
          <w:b/>
          <w:bCs/>
        </w:rPr>
        <w:t>MEETING SUMMARY</w:t>
      </w:r>
    </w:p>
    <w:p w14:paraId="24F2C7C6" w14:textId="20F91146" w:rsidR="007E441E" w:rsidRDefault="001F6849" w:rsidP="00665585">
      <w:pPr>
        <w:pStyle w:val="ListParagraph"/>
        <w:numPr>
          <w:ilvl w:val="0"/>
          <w:numId w:val="17"/>
        </w:numPr>
        <w:tabs>
          <w:tab w:val="left" w:pos="840"/>
          <w:tab w:val="left" w:pos="841"/>
        </w:tabs>
      </w:pPr>
      <w:r>
        <w:t>LCM Project Director</w:t>
      </w:r>
      <w:r w:rsidR="00645816">
        <w:t>, Clarissa Easton</w:t>
      </w:r>
      <w:r w:rsidR="00460546">
        <w:t xml:space="preserve"> introduced two new LCM project managers. </w:t>
      </w:r>
      <w:r w:rsidR="00460546" w:rsidRPr="001F6849">
        <w:rPr>
          <w:b/>
          <w:bCs/>
        </w:rPr>
        <w:t>Ariel Birtley</w:t>
      </w:r>
      <w:r w:rsidR="00460546">
        <w:t xml:space="preserve"> is replacing Amy Kim as </w:t>
      </w:r>
      <w:r>
        <w:t>p</w:t>
      </w:r>
      <w:r w:rsidR="00460546">
        <w:t xml:space="preserve">roject </w:t>
      </w:r>
      <w:r>
        <w:t>m</w:t>
      </w:r>
      <w:r w:rsidR="00460546">
        <w:t xml:space="preserve">anager for the </w:t>
      </w:r>
      <w:r w:rsidR="00460546" w:rsidRPr="001F6849">
        <w:rPr>
          <w:b/>
          <w:bCs/>
        </w:rPr>
        <w:t>Newhouse Replacement Project</w:t>
      </w:r>
      <w:r w:rsidR="00460546">
        <w:t xml:space="preserve"> and </w:t>
      </w:r>
      <w:r w:rsidR="00460546" w:rsidRPr="001F6849">
        <w:rPr>
          <w:b/>
          <w:bCs/>
        </w:rPr>
        <w:t>Sidney Hunt</w:t>
      </w:r>
      <w:r w:rsidR="00460546">
        <w:t xml:space="preserve"> is the new </w:t>
      </w:r>
      <w:r>
        <w:t>p</w:t>
      </w:r>
      <w:r w:rsidR="00460546">
        <w:t xml:space="preserve">roject </w:t>
      </w:r>
      <w:r>
        <w:t>m</w:t>
      </w:r>
      <w:r w:rsidR="00460546">
        <w:t xml:space="preserve">anager for the </w:t>
      </w:r>
      <w:r w:rsidR="002C4A2F">
        <w:rPr>
          <w:b/>
          <w:bCs/>
        </w:rPr>
        <w:t>Pritchard and O’Brien Project.</w:t>
      </w:r>
      <w:r w:rsidR="00460546">
        <w:t xml:space="preserve"> </w:t>
      </w:r>
    </w:p>
    <w:p w14:paraId="34B8C124" w14:textId="2FB9DCA0" w:rsidR="00DD665E" w:rsidRDefault="00DD665E" w:rsidP="00665585">
      <w:pPr>
        <w:pStyle w:val="ListParagraph"/>
        <w:numPr>
          <w:ilvl w:val="0"/>
          <w:numId w:val="17"/>
        </w:numPr>
        <w:tabs>
          <w:tab w:val="left" w:pos="840"/>
          <w:tab w:val="left" w:pos="841"/>
        </w:tabs>
      </w:pPr>
      <w:r>
        <w:t>LCM Government Affairs Director</w:t>
      </w:r>
      <w:r w:rsidR="00D8354C">
        <w:t>,</w:t>
      </w:r>
      <w:r w:rsidR="00DE044F">
        <w:t xml:space="preserve"> </w:t>
      </w:r>
      <w:r>
        <w:t xml:space="preserve">Ann Larson provided an </w:t>
      </w:r>
      <w:r w:rsidRPr="001F6849">
        <w:rPr>
          <w:b/>
          <w:bCs/>
        </w:rPr>
        <w:t>overall campus parking update</w:t>
      </w:r>
      <w:r>
        <w:t>.</w:t>
      </w:r>
    </w:p>
    <w:p w14:paraId="5C44635C" w14:textId="6544F9A9" w:rsidR="00DD665E" w:rsidRDefault="00DD665E" w:rsidP="00DD665E">
      <w:pPr>
        <w:pStyle w:val="ListParagraph"/>
        <w:numPr>
          <w:ilvl w:val="0"/>
          <w:numId w:val="17"/>
        </w:numPr>
        <w:tabs>
          <w:tab w:val="left" w:pos="840"/>
          <w:tab w:val="left" w:pos="841"/>
        </w:tabs>
      </w:pPr>
      <w:r>
        <w:t xml:space="preserve">Clarissa Easton provided an </w:t>
      </w:r>
      <w:r w:rsidRPr="00DD665E">
        <w:rPr>
          <w:b/>
          <w:bCs/>
        </w:rPr>
        <w:t xml:space="preserve">overview of </w:t>
      </w:r>
      <w:r w:rsidRPr="002C4A2F">
        <w:rPr>
          <w:b/>
          <w:bCs/>
        </w:rPr>
        <w:t xml:space="preserve">the upcoming </w:t>
      </w:r>
      <w:r w:rsidRPr="00DD665E">
        <w:rPr>
          <w:b/>
          <w:bCs/>
        </w:rPr>
        <w:t>LCM milestones</w:t>
      </w:r>
      <w:r>
        <w:t xml:space="preserve"> over the next 90 days.</w:t>
      </w:r>
    </w:p>
    <w:p w14:paraId="222AB604" w14:textId="7158528D" w:rsidR="00DD665E" w:rsidRDefault="00DD665E" w:rsidP="00DD665E">
      <w:pPr>
        <w:pStyle w:val="ListParagraph"/>
        <w:numPr>
          <w:ilvl w:val="0"/>
          <w:numId w:val="17"/>
        </w:numPr>
        <w:tabs>
          <w:tab w:val="left" w:pos="840"/>
          <w:tab w:val="left" w:pos="841"/>
        </w:tabs>
      </w:pPr>
      <w:r>
        <w:t xml:space="preserve">Clarissa Easton announced that the </w:t>
      </w:r>
      <w:r w:rsidRPr="00DD665E">
        <w:rPr>
          <w:b/>
          <w:bCs/>
        </w:rPr>
        <w:t xml:space="preserve">Non-Project Specific SEPA </w:t>
      </w:r>
      <w:r>
        <w:rPr>
          <w:b/>
          <w:bCs/>
        </w:rPr>
        <w:t>C</w:t>
      </w:r>
      <w:r w:rsidRPr="00DD665E">
        <w:rPr>
          <w:b/>
          <w:bCs/>
        </w:rPr>
        <w:t>hecklist</w:t>
      </w:r>
      <w:r>
        <w:t xml:space="preserve"> has been submitted to </w:t>
      </w:r>
      <w:r w:rsidR="00C10FCB">
        <w:t>DES Planning and Project Delivery group</w:t>
      </w:r>
      <w:r w:rsidR="000C4BDC">
        <w:t xml:space="preserve"> (</w:t>
      </w:r>
      <w:r>
        <w:t>PPD</w:t>
      </w:r>
      <w:r w:rsidR="000C4BDC">
        <w:t>)</w:t>
      </w:r>
      <w:r>
        <w:t xml:space="preserve">. The </w:t>
      </w:r>
      <w:r w:rsidR="00F72C86">
        <w:t xml:space="preserve">group began its </w:t>
      </w:r>
      <w:r>
        <w:t>90-day review period on June 7, 2022.</w:t>
      </w:r>
      <w:r w:rsidR="001B6598">
        <w:t xml:space="preserve"> Once</w:t>
      </w:r>
      <w:r w:rsidR="00FB4E45">
        <w:t xml:space="preserve"> </w:t>
      </w:r>
      <w:r w:rsidR="00F72C86">
        <w:t xml:space="preserve">PPD </w:t>
      </w:r>
      <w:r w:rsidR="001B6598">
        <w:t>has completed th</w:t>
      </w:r>
      <w:r w:rsidR="00F72C86">
        <w:t>is internal</w:t>
      </w:r>
      <w:r w:rsidR="001B6598">
        <w:t xml:space="preserve"> review process, </w:t>
      </w:r>
      <w:r w:rsidR="00F72C86">
        <w:t xml:space="preserve">the checklist </w:t>
      </w:r>
      <w:r w:rsidR="001B6598">
        <w:t>will be posted for public review</w:t>
      </w:r>
      <w:r w:rsidR="00F72C86">
        <w:t xml:space="preserve">. DES will </w:t>
      </w:r>
      <w:r w:rsidR="002D0B31">
        <w:t>conduct</w:t>
      </w:r>
      <w:r w:rsidR="00F72C86">
        <w:t xml:space="preserve"> outreach to inform everyone </w:t>
      </w:r>
      <w:r w:rsidR="001B6598">
        <w:t>about the public comment</w:t>
      </w:r>
      <w:r w:rsidR="00F72C86">
        <w:t xml:space="preserve"> period.</w:t>
      </w:r>
    </w:p>
    <w:p w14:paraId="69BF8F29" w14:textId="6BC41AD7" w:rsidR="00DD665E" w:rsidRDefault="00DD665E" w:rsidP="00DD665E">
      <w:pPr>
        <w:pStyle w:val="ListParagraph"/>
        <w:numPr>
          <w:ilvl w:val="0"/>
          <w:numId w:val="17"/>
        </w:numPr>
        <w:tabs>
          <w:tab w:val="left" w:pos="840"/>
          <w:tab w:val="left" w:pos="841"/>
        </w:tabs>
      </w:pPr>
      <w:r>
        <w:t xml:space="preserve">Sidney Hunt, project manager for the </w:t>
      </w:r>
      <w:r w:rsidR="001F6849">
        <w:rPr>
          <w:b/>
          <w:bCs/>
        </w:rPr>
        <w:t>M</w:t>
      </w:r>
      <w:r w:rsidRPr="00DD665E">
        <w:rPr>
          <w:b/>
          <w:bCs/>
        </w:rPr>
        <w:t xml:space="preserve">odular </w:t>
      </w:r>
      <w:r w:rsidR="001F6849">
        <w:rPr>
          <w:b/>
          <w:bCs/>
        </w:rPr>
        <w:t>B</w:t>
      </w:r>
      <w:r w:rsidRPr="00DD665E">
        <w:rPr>
          <w:b/>
          <w:bCs/>
        </w:rPr>
        <w:t>uilding</w:t>
      </w:r>
      <w:r w:rsidR="00DE044F">
        <w:t>,</w:t>
      </w:r>
      <w:r>
        <w:rPr>
          <w:b/>
          <w:bCs/>
        </w:rPr>
        <w:t xml:space="preserve"> </w:t>
      </w:r>
      <w:r>
        <w:t>provided an update on site preparation work that is currently underway.</w:t>
      </w:r>
    </w:p>
    <w:p w14:paraId="5B5D48CC" w14:textId="717B8496" w:rsidR="00DD665E" w:rsidRDefault="00DD665E" w:rsidP="00DD665E">
      <w:pPr>
        <w:pStyle w:val="ListParagraph"/>
        <w:numPr>
          <w:ilvl w:val="0"/>
          <w:numId w:val="17"/>
        </w:numPr>
        <w:tabs>
          <w:tab w:val="left" w:pos="840"/>
          <w:tab w:val="left" w:pos="841"/>
        </w:tabs>
      </w:pPr>
      <w:r>
        <w:t>Clarissa Easton shared progress on the</w:t>
      </w:r>
      <w:r w:rsidR="00C10FCB">
        <w:t xml:space="preserve"> AE selection process for the </w:t>
      </w:r>
      <w:r w:rsidR="00C10FCB" w:rsidRPr="00D8354C">
        <w:rPr>
          <w:b/>
          <w:bCs/>
        </w:rPr>
        <w:t>Pritchard and O’Brien Project</w:t>
      </w:r>
      <w:r w:rsidR="00C10FCB">
        <w:t>. DLR Group out of Seattle was selected</w:t>
      </w:r>
      <w:r w:rsidR="00D8354C">
        <w:t xml:space="preserve"> and c</w:t>
      </w:r>
      <w:r w:rsidR="00C10FCB">
        <w:t>ontract negotiations are underway.</w:t>
      </w:r>
    </w:p>
    <w:p w14:paraId="01984E33" w14:textId="3471B5AA" w:rsidR="001F6849" w:rsidRPr="001F6849" w:rsidRDefault="001F6849" w:rsidP="00DD665E">
      <w:pPr>
        <w:pStyle w:val="ListParagraph"/>
        <w:numPr>
          <w:ilvl w:val="0"/>
          <w:numId w:val="17"/>
        </w:numPr>
        <w:tabs>
          <w:tab w:val="left" w:pos="840"/>
          <w:tab w:val="left" w:pos="841"/>
        </w:tabs>
        <w:rPr>
          <w:b/>
          <w:bCs/>
        </w:rPr>
      </w:pPr>
      <w:r>
        <w:t xml:space="preserve">Ariel Birtley, project manager for the </w:t>
      </w:r>
      <w:r w:rsidRPr="001F6849">
        <w:rPr>
          <w:b/>
          <w:bCs/>
        </w:rPr>
        <w:t>Newhouse Replacement Project</w:t>
      </w:r>
      <w:r w:rsidR="00DE044F">
        <w:t>,</w:t>
      </w:r>
      <w:r>
        <w:rPr>
          <w:b/>
          <w:bCs/>
        </w:rPr>
        <w:t xml:space="preserve"> </w:t>
      </w:r>
      <w:r>
        <w:t>announced that we entered the Design Development (DD) phase of the project on June 1, 2022. This is expected be completed in early September.</w:t>
      </w:r>
    </w:p>
    <w:p w14:paraId="1377435F" w14:textId="04B6C269" w:rsidR="001F6849" w:rsidRPr="001F6849" w:rsidRDefault="001F6849" w:rsidP="00DD665E">
      <w:pPr>
        <w:pStyle w:val="ListParagraph"/>
        <w:numPr>
          <w:ilvl w:val="0"/>
          <w:numId w:val="17"/>
        </w:numPr>
        <w:tabs>
          <w:tab w:val="left" w:pos="840"/>
          <w:tab w:val="left" w:pos="841"/>
        </w:tabs>
        <w:rPr>
          <w:b/>
          <w:bCs/>
        </w:rPr>
      </w:pPr>
      <w:r>
        <w:t xml:space="preserve">Christine Traber, AIA, </w:t>
      </w:r>
      <w:r w:rsidR="00AB1439">
        <w:t>Miller Hull project manager</w:t>
      </w:r>
      <w:r>
        <w:t xml:space="preserve"> presented an update on </w:t>
      </w:r>
      <w:r w:rsidRPr="001F6849">
        <w:rPr>
          <w:b/>
          <w:bCs/>
        </w:rPr>
        <w:t>Newhouse building design</w:t>
      </w:r>
      <w:r>
        <w:t>.</w:t>
      </w:r>
    </w:p>
    <w:p w14:paraId="10F75960" w14:textId="7BED27F1" w:rsidR="001F6849" w:rsidRPr="00D41BB6" w:rsidRDefault="001F6849" w:rsidP="00DD665E">
      <w:pPr>
        <w:pStyle w:val="ListParagraph"/>
        <w:numPr>
          <w:ilvl w:val="0"/>
          <w:numId w:val="17"/>
        </w:numPr>
        <w:tabs>
          <w:tab w:val="left" w:pos="840"/>
          <w:tab w:val="left" w:pos="841"/>
        </w:tabs>
      </w:pPr>
      <w:r w:rsidRPr="001F6849">
        <w:t>Ruth Baleiko</w:t>
      </w:r>
      <w:r w:rsidR="00AB1439">
        <w:t>, FAIA,</w:t>
      </w:r>
      <w:r w:rsidRPr="001F6849">
        <w:t xml:space="preserve"> Miller Hull</w:t>
      </w:r>
      <w:r>
        <w:t xml:space="preserve"> shared updated </w:t>
      </w:r>
      <w:r w:rsidRPr="001F6849">
        <w:rPr>
          <w:b/>
          <w:bCs/>
        </w:rPr>
        <w:t>Newhouse landscape considerations.</w:t>
      </w:r>
    </w:p>
    <w:p w14:paraId="6E2F64EB" w14:textId="77777777" w:rsidR="00D41BB6" w:rsidRPr="001F6849" w:rsidRDefault="00D41BB6" w:rsidP="00D41BB6">
      <w:pPr>
        <w:pStyle w:val="ListParagraph"/>
        <w:tabs>
          <w:tab w:val="left" w:pos="840"/>
          <w:tab w:val="left" w:pos="841"/>
        </w:tabs>
        <w:ind w:left="720" w:firstLine="0"/>
      </w:pPr>
    </w:p>
    <w:bookmarkEnd w:id="0"/>
    <w:p w14:paraId="4DC5EF94" w14:textId="2D9A5AA6" w:rsidR="00645816" w:rsidRDefault="00757315" w:rsidP="00645816">
      <w:pPr>
        <w:tabs>
          <w:tab w:val="left" w:pos="840"/>
          <w:tab w:val="left" w:pos="841"/>
        </w:tabs>
      </w:pPr>
      <w:r>
        <w:t>View</w:t>
      </w:r>
      <w:r w:rsidR="00235B40">
        <w:t xml:space="preserve"> the</w:t>
      </w:r>
      <w:r>
        <w:t xml:space="preserve"> </w:t>
      </w:r>
      <w:r w:rsidR="0041144C" w:rsidRPr="007E441E">
        <w:t xml:space="preserve">meeting presentation </w:t>
      </w:r>
      <w:hyperlink r:id="rId8" w:history="1">
        <w:r w:rsidR="0041144C" w:rsidRPr="00A17EEC">
          <w:rPr>
            <w:rStyle w:val="Hyperlink"/>
          </w:rPr>
          <w:t>here</w:t>
        </w:r>
      </w:hyperlink>
      <w:r>
        <w:t>.</w:t>
      </w:r>
      <w:bookmarkStart w:id="1" w:name="DES_asked_historic_preservation_organiza"/>
      <w:bookmarkEnd w:id="1"/>
    </w:p>
    <w:p w14:paraId="302756ED" w14:textId="77777777" w:rsidR="00645816" w:rsidRDefault="00645816" w:rsidP="00645816">
      <w:pPr>
        <w:tabs>
          <w:tab w:val="left" w:pos="840"/>
          <w:tab w:val="left" w:pos="841"/>
        </w:tabs>
      </w:pPr>
    </w:p>
    <w:p w14:paraId="3AE6D7FD" w14:textId="038BE068" w:rsidR="00645816" w:rsidRDefault="00645816" w:rsidP="00645816">
      <w:pPr>
        <w:pStyle w:val="Heading1"/>
        <w:spacing w:after="240" w:line="237" w:lineRule="auto"/>
        <w:ind w:left="0" w:right="510"/>
      </w:pPr>
      <w:r>
        <w:t>DES asked stakeholders to provide thoughts, concerns and ideas. The group discussed:</w:t>
      </w:r>
    </w:p>
    <w:p w14:paraId="593A0175" w14:textId="7255290F" w:rsidR="0018532E" w:rsidRDefault="00645816" w:rsidP="00645816">
      <w:pPr>
        <w:pStyle w:val="ListParagraph"/>
        <w:numPr>
          <w:ilvl w:val="0"/>
          <w:numId w:val="11"/>
        </w:numPr>
      </w:pPr>
      <w:r>
        <w:t>Landscaping considerations for the Newhouse site.</w:t>
      </w:r>
      <w:r w:rsidR="00FB4E45">
        <w:t xml:space="preserve"> </w:t>
      </w:r>
    </w:p>
    <w:p w14:paraId="48150E06" w14:textId="2A9A55E5" w:rsidR="000C4BDC" w:rsidRDefault="000C4BDC" w:rsidP="000C4BDC">
      <w:pPr>
        <w:pStyle w:val="ListParagraph"/>
        <w:numPr>
          <w:ilvl w:val="1"/>
          <w:numId w:val="11"/>
        </w:numPr>
      </w:pPr>
      <w:r>
        <w:t>Ways stakeholders would like to see the Newhouse building welcoming and inclusive to the campus, neighborhood</w:t>
      </w:r>
      <w:r w:rsidR="00D8354C">
        <w:t>,</w:t>
      </w:r>
      <w:r>
        <w:t xml:space="preserve"> and citizens of Washington.</w:t>
      </w:r>
    </w:p>
    <w:p w14:paraId="49AD68E0" w14:textId="2F31B745" w:rsidR="000C4BDC" w:rsidRDefault="000C4BDC" w:rsidP="000C4BDC">
      <w:pPr>
        <w:pStyle w:val="ListParagraph"/>
        <w:numPr>
          <w:ilvl w:val="1"/>
          <w:numId w:val="11"/>
        </w:numPr>
      </w:pPr>
      <w:r>
        <w:t>What stories stakeholders would like to have celebrated and honored on the Newhouse site.</w:t>
      </w:r>
    </w:p>
    <w:p w14:paraId="17FD98E8" w14:textId="5D9C88D3" w:rsidR="00645816" w:rsidRDefault="00FB4E45" w:rsidP="00645816">
      <w:pPr>
        <w:pStyle w:val="ListParagraph"/>
        <w:numPr>
          <w:ilvl w:val="0"/>
          <w:numId w:val="11"/>
        </w:numPr>
      </w:pPr>
      <w:r>
        <w:t>There is some concern among stakeholders that the transition from the Capitol Campus to the South Capitol Neighborhood is basically a large parking lot.  Stakeholders would like to see a better transition here.</w:t>
      </w:r>
    </w:p>
    <w:p w14:paraId="76DFC449" w14:textId="2F46A0DB" w:rsidR="00645816" w:rsidRDefault="00645816" w:rsidP="00645816">
      <w:pPr>
        <w:pStyle w:val="ListParagraph"/>
        <w:numPr>
          <w:ilvl w:val="0"/>
          <w:numId w:val="11"/>
        </w:numPr>
      </w:pPr>
      <w:r>
        <w:t>Maintaining the Olmsted Brother’s landscape plans and legacy in site designs.</w:t>
      </w:r>
      <w:r w:rsidR="00FB4E45">
        <w:t xml:space="preserve"> This includes preserving historic trees etc.</w:t>
      </w:r>
    </w:p>
    <w:p w14:paraId="05062D2F" w14:textId="18D3F572" w:rsidR="00645816" w:rsidRDefault="00645816" w:rsidP="000C4BDC">
      <w:pPr>
        <w:pStyle w:val="ListParagraph"/>
        <w:numPr>
          <w:ilvl w:val="0"/>
          <w:numId w:val="11"/>
        </w:numPr>
      </w:pPr>
      <w:r>
        <w:t>The importance of documenting the history of the Press House structures</w:t>
      </w:r>
      <w:r w:rsidR="000C4BDC">
        <w:t>.</w:t>
      </w:r>
    </w:p>
    <w:p w14:paraId="01760192" w14:textId="56F69F73" w:rsidR="00AB1439" w:rsidRDefault="00AB1439" w:rsidP="00645816">
      <w:pPr>
        <w:pStyle w:val="ListParagraph"/>
        <w:numPr>
          <w:ilvl w:val="0"/>
          <w:numId w:val="11"/>
        </w:numPr>
      </w:pPr>
      <w:r>
        <w:t>Ways we can be good stewards for future generations.</w:t>
      </w:r>
    </w:p>
    <w:p w14:paraId="4E4FE91A" w14:textId="297CFCF8" w:rsidR="00AB1439" w:rsidRDefault="00AB1439" w:rsidP="00645816">
      <w:pPr>
        <w:pStyle w:val="ListParagraph"/>
        <w:numPr>
          <w:ilvl w:val="0"/>
          <w:numId w:val="11"/>
        </w:numPr>
      </w:pPr>
      <w:r>
        <w:t>Site accessibility.</w:t>
      </w:r>
    </w:p>
    <w:p w14:paraId="3B018F7C" w14:textId="4891F6D2" w:rsidR="00AB1439" w:rsidRDefault="00AB1439" w:rsidP="00645816">
      <w:pPr>
        <w:pStyle w:val="ListParagraph"/>
        <w:numPr>
          <w:ilvl w:val="0"/>
          <w:numId w:val="11"/>
        </w:numPr>
      </w:pPr>
      <w:r>
        <w:t xml:space="preserve">Working with Tribal leaders to </w:t>
      </w:r>
      <w:r w:rsidR="00D8354C">
        <w:t>e</w:t>
      </w:r>
      <w:r>
        <w:t>nsure inclusivity in landscape design and consistency.</w:t>
      </w:r>
    </w:p>
    <w:p w14:paraId="666F11F2" w14:textId="77777777" w:rsidR="00645816" w:rsidRDefault="00645816" w:rsidP="00645816">
      <w:pPr>
        <w:pStyle w:val="ListParagraph"/>
        <w:numPr>
          <w:ilvl w:val="0"/>
          <w:numId w:val="11"/>
        </w:numPr>
      </w:pPr>
      <w:r>
        <w:t>Parking opportunities and strategies throughout the LCM area.</w:t>
      </w:r>
    </w:p>
    <w:p w14:paraId="4E1068A6" w14:textId="791BD0A7" w:rsidR="00645816" w:rsidRDefault="00645816" w:rsidP="00645816">
      <w:pPr>
        <w:pStyle w:val="ListParagraph"/>
        <w:numPr>
          <w:ilvl w:val="0"/>
          <w:numId w:val="11"/>
        </w:numPr>
      </w:pPr>
      <w:r>
        <w:t>When</w:t>
      </w:r>
      <w:r w:rsidR="001E2BDA">
        <w:t xml:space="preserve"> the</w:t>
      </w:r>
      <w:r>
        <w:t xml:space="preserve"> public </w:t>
      </w:r>
      <w:r w:rsidR="00D8354C">
        <w:t>will</w:t>
      </w:r>
      <w:r>
        <w:t xml:space="preserve"> have the opportunity to review SEPA checklist and comment.</w:t>
      </w:r>
    </w:p>
    <w:p w14:paraId="2A87BD30" w14:textId="77777777" w:rsidR="000C4BDC" w:rsidRDefault="000C4BDC" w:rsidP="000C4BDC">
      <w:pPr>
        <w:pStyle w:val="ListParagraph"/>
        <w:ind w:left="1199" w:firstLine="0"/>
      </w:pPr>
    </w:p>
    <w:p w14:paraId="4DC0B8CF" w14:textId="44F8D3CF" w:rsidR="005D49FB" w:rsidRDefault="005D49FB" w:rsidP="00A77272">
      <w:pPr>
        <w:pStyle w:val="Heading1"/>
        <w:ind w:left="0"/>
      </w:pPr>
      <w:r>
        <w:t>Useful links</w:t>
      </w:r>
      <w:r w:rsidR="00235B40">
        <w:t xml:space="preserve"> for additional information </w:t>
      </w:r>
    </w:p>
    <w:p w14:paraId="757EB217" w14:textId="4BEB78AC" w:rsidR="005D49FB" w:rsidRDefault="00A17EEC" w:rsidP="005D49FB">
      <w:pPr>
        <w:pStyle w:val="Heading1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hyperlink r:id="rId9" w:history="1">
        <w:r w:rsidR="005D49FB" w:rsidRPr="005D49FB">
          <w:rPr>
            <w:rStyle w:val="Hyperlink"/>
            <w:rFonts w:ascii="Calibri" w:eastAsia="Calibri" w:hAnsi="Calibri" w:cs="Calibri"/>
            <w:b w:val="0"/>
            <w:bCs w:val="0"/>
            <w:sz w:val="22"/>
            <w:szCs w:val="22"/>
          </w:rPr>
          <w:t>Legislative Campus Modernization</w:t>
        </w:r>
      </w:hyperlink>
      <w:r w:rsidR="005D49FB" w:rsidRPr="005D49FB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webpage</w:t>
      </w:r>
    </w:p>
    <w:p w14:paraId="23814BF5" w14:textId="11357193" w:rsidR="00B76FF0" w:rsidRDefault="00A17EEC" w:rsidP="005D49FB">
      <w:pPr>
        <w:pStyle w:val="Heading1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hyperlink r:id="rId10" w:history="1">
        <w:r w:rsidR="00B76FF0" w:rsidRPr="00B76FF0">
          <w:rPr>
            <w:rStyle w:val="Hyperlink"/>
            <w:rFonts w:ascii="Calibri" w:eastAsia="Calibri" w:hAnsi="Calibri" w:cs="Calibri"/>
            <w:b w:val="0"/>
            <w:bCs w:val="0"/>
            <w:sz w:val="22"/>
            <w:szCs w:val="22"/>
          </w:rPr>
          <w:t>LCM public meetings</w:t>
        </w:r>
      </w:hyperlink>
      <w:r w:rsidR="00B76FF0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webpage</w:t>
      </w:r>
    </w:p>
    <w:p w14:paraId="23D25BC4" w14:textId="33594C81" w:rsidR="00A77272" w:rsidRPr="005D49FB" w:rsidRDefault="00A17EEC" w:rsidP="005D49FB">
      <w:pPr>
        <w:pStyle w:val="Heading1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hyperlink r:id="rId11" w:history="1">
        <w:r w:rsidR="00A77272" w:rsidRPr="00A77272">
          <w:rPr>
            <w:rStyle w:val="Hyperlink"/>
            <w:rFonts w:ascii="Calibri" w:eastAsia="Calibri" w:hAnsi="Calibri" w:cs="Calibri"/>
            <w:b w:val="0"/>
            <w:bCs w:val="0"/>
            <w:sz w:val="22"/>
            <w:szCs w:val="22"/>
          </w:rPr>
          <w:t>Irving R. Newhouse</w:t>
        </w:r>
      </w:hyperlink>
      <w:r w:rsidR="00A77272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webpage</w:t>
      </w:r>
    </w:p>
    <w:p w14:paraId="188314D8" w14:textId="32090749" w:rsidR="005D49FB" w:rsidRDefault="00A17EEC" w:rsidP="005D49FB">
      <w:pPr>
        <w:pStyle w:val="Heading1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hyperlink r:id="rId12" w:history="1">
        <w:r w:rsidR="005D49FB" w:rsidRPr="005D49FB">
          <w:rPr>
            <w:rStyle w:val="Hyperlink"/>
            <w:rFonts w:ascii="Calibri" w:eastAsia="Calibri" w:hAnsi="Calibri" w:cs="Calibri"/>
            <w:b w:val="0"/>
            <w:bCs w:val="0"/>
            <w:sz w:val="22"/>
            <w:szCs w:val="22"/>
          </w:rPr>
          <w:t>Joel M. Pritchard Library</w:t>
        </w:r>
      </w:hyperlink>
      <w:r w:rsidR="005D49FB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</w:t>
      </w:r>
      <w:r w:rsidR="005D49FB" w:rsidRPr="005D49FB">
        <w:rPr>
          <w:rFonts w:ascii="Calibri" w:eastAsia="Calibri" w:hAnsi="Calibri" w:cs="Calibri"/>
          <w:b w:val="0"/>
          <w:bCs w:val="0"/>
          <w:sz w:val="22"/>
          <w:szCs w:val="22"/>
        </w:rPr>
        <w:t>webpage</w:t>
      </w:r>
    </w:p>
    <w:p w14:paraId="1F693D9C" w14:textId="246F7465" w:rsidR="00836EE8" w:rsidRDefault="00A17EEC" w:rsidP="005D49FB">
      <w:pPr>
        <w:pStyle w:val="Heading1"/>
        <w:numPr>
          <w:ilvl w:val="0"/>
          <w:numId w:val="2"/>
        </w:numPr>
        <w:rPr>
          <w:rFonts w:ascii="Calibri" w:eastAsia="Calibri" w:hAnsi="Calibri" w:cs="Calibri"/>
          <w:b w:val="0"/>
          <w:bCs w:val="0"/>
          <w:sz w:val="22"/>
          <w:szCs w:val="22"/>
        </w:rPr>
      </w:pPr>
      <w:hyperlink r:id="rId13" w:history="1">
        <w:r w:rsidR="00836EE8" w:rsidRPr="00836EE8">
          <w:rPr>
            <w:rStyle w:val="Hyperlink"/>
            <w:rFonts w:ascii="Calibri" w:eastAsia="Calibri" w:hAnsi="Calibri" w:cs="Calibri"/>
            <w:b w:val="0"/>
            <w:bCs w:val="0"/>
            <w:sz w:val="22"/>
            <w:szCs w:val="22"/>
          </w:rPr>
          <w:t>LCM SEPA checklist review</w:t>
        </w:r>
      </w:hyperlink>
      <w:r w:rsidR="00836EE8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webpage</w:t>
      </w:r>
    </w:p>
    <w:p w14:paraId="77C358F0" w14:textId="77777777" w:rsidR="005D49FB" w:rsidRDefault="005D49FB" w:rsidP="005D49FB">
      <w:pPr>
        <w:pStyle w:val="Heading1"/>
        <w:rPr>
          <w:rFonts w:ascii="Calibri" w:eastAsia="Calibri" w:hAnsi="Calibri" w:cs="Calibri"/>
          <w:b w:val="0"/>
          <w:bCs w:val="0"/>
          <w:sz w:val="22"/>
          <w:szCs w:val="22"/>
        </w:rPr>
      </w:pPr>
    </w:p>
    <w:p w14:paraId="1C37F16A" w14:textId="77777777" w:rsidR="005D49FB" w:rsidRDefault="005D49FB" w:rsidP="005D49FB">
      <w:pPr>
        <w:pStyle w:val="Heading1"/>
      </w:pPr>
      <w:r>
        <w:t>Contact information</w:t>
      </w:r>
    </w:p>
    <w:p w14:paraId="29353DA9" w14:textId="77777777" w:rsidR="005D49FB" w:rsidRPr="005D49FB" w:rsidRDefault="005D49FB" w:rsidP="005D49FB">
      <w:pPr>
        <w:pStyle w:val="BodyText"/>
        <w:numPr>
          <w:ilvl w:val="0"/>
          <w:numId w:val="6"/>
        </w:numPr>
      </w:pPr>
      <w:r w:rsidRPr="005D49FB">
        <w:t xml:space="preserve">Please email </w:t>
      </w:r>
      <w:hyperlink r:id="rId14" w:history="1">
        <w:r w:rsidRPr="00510F4C">
          <w:rPr>
            <w:rStyle w:val="Hyperlink"/>
          </w:rPr>
          <w:t>DESLCM@des.wa.gov</w:t>
        </w:r>
      </w:hyperlink>
      <w:r>
        <w:t xml:space="preserve"> </w:t>
      </w:r>
      <w:r w:rsidRPr="005D49FB">
        <w:t>with any questions or comments</w:t>
      </w:r>
    </w:p>
    <w:p w14:paraId="7A8B412D" w14:textId="77777777" w:rsidR="005D49FB" w:rsidRPr="005D49FB" w:rsidRDefault="005D49FB" w:rsidP="005D49FB">
      <w:pPr>
        <w:pStyle w:val="Heading1"/>
        <w:rPr>
          <w:rFonts w:ascii="Calibri" w:eastAsia="Calibri" w:hAnsi="Calibri" w:cs="Calibri"/>
          <w:b w:val="0"/>
          <w:bCs w:val="0"/>
          <w:sz w:val="22"/>
          <w:szCs w:val="22"/>
        </w:rPr>
      </w:pPr>
    </w:p>
    <w:p w14:paraId="4B5051CF" w14:textId="77777777" w:rsidR="005D49FB" w:rsidRDefault="005D49FB" w:rsidP="005D49FB">
      <w:pPr>
        <w:pStyle w:val="Heading1"/>
        <w:ind w:left="479"/>
      </w:pPr>
    </w:p>
    <w:sectPr w:rsidR="005D49FB" w:rsidSect="008769C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93861" w14:textId="77777777" w:rsidR="00BA56A0" w:rsidRDefault="00BA56A0" w:rsidP="00645816">
      <w:r>
        <w:separator/>
      </w:r>
    </w:p>
  </w:endnote>
  <w:endnote w:type="continuationSeparator" w:id="0">
    <w:p w14:paraId="361286D0" w14:textId="77777777" w:rsidR="00BA56A0" w:rsidRDefault="00BA56A0" w:rsidP="00645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5B15F" w14:textId="77777777" w:rsidR="00645816" w:rsidRDefault="006458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FEE68" w14:textId="77777777" w:rsidR="00645816" w:rsidRDefault="006458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3190" w14:textId="77777777" w:rsidR="00645816" w:rsidRDefault="006458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87BA5" w14:textId="77777777" w:rsidR="00BA56A0" w:rsidRDefault="00BA56A0" w:rsidP="00645816">
      <w:r>
        <w:separator/>
      </w:r>
    </w:p>
  </w:footnote>
  <w:footnote w:type="continuationSeparator" w:id="0">
    <w:p w14:paraId="10D24400" w14:textId="77777777" w:rsidR="00BA56A0" w:rsidRDefault="00BA56A0" w:rsidP="00645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542A7" w14:textId="77777777" w:rsidR="00645816" w:rsidRDefault="006458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0099783"/>
      <w:docPartObj>
        <w:docPartGallery w:val="Watermarks"/>
        <w:docPartUnique/>
      </w:docPartObj>
    </w:sdtPr>
    <w:sdtEndPr/>
    <w:sdtContent>
      <w:p w14:paraId="2D91D3E8" w14:textId="68CE0089" w:rsidR="00645816" w:rsidRDefault="00A17EEC">
        <w:pPr>
          <w:pStyle w:val="Header"/>
        </w:pPr>
        <w:r>
          <w:rPr>
            <w:noProof/>
          </w:rPr>
          <w:pict w14:anchorId="259F55F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6A289" w14:textId="77777777" w:rsidR="00645816" w:rsidRDefault="006458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FD3"/>
    <w:multiLevelType w:val="hybridMultilevel"/>
    <w:tmpl w:val="1C36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439FC"/>
    <w:multiLevelType w:val="hybridMultilevel"/>
    <w:tmpl w:val="69A43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01E4"/>
    <w:multiLevelType w:val="hybridMultilevel"/>
    <w:tmpl w:val="89D64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018D2"/>
    <w:multiLevelType w:val="hybridMultilevel"/>
    <w:tmpl w:val="E1760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B56A3"/>
    <w:multiLevelType w:val="hybridMultilevel"/>
    <w:tmpl w:val="F12A9B14"/>
    <w:lvl w:ilvl="0" w:tplc="04090001">
      <w:start w:val="1"/>
      <w:numFmt w:val="bullet"/>
      <w:lvlText w:val=""/>
      <w:lvlJc w:val="left"/>
      <w:pPr>
        <w:ind w:left="119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9" w:hanging="360"/>
      </w:pPr>
      <w:rPr>
        <w:rFonts w:ascii="Wingdings" w:hAnsi="Wingdings" w:hint="default"/>
      </w:rPr>
    </w:lvl>
  </w:abstractNum>
  <w:abstractNum w:abstractNumId="5" w15:restartNumberingAfterBreak="0">
    <w:nsid w:val="1E026C5F"/>
    <w:multiLevelType w:val="hybridMultilevel"/>
    <w:tmpl w:val="A8EA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D4251"/>
    <w:multiLevelType w:val="hybridMultilevel"/>
    <w:tmpl w:val="C0D2C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D5A98"/>
    <w:multiLevelType w:val="hybridMultilevel"/>
    <w:tmpl w:val="757E0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026065"/>
    <w:multiLevelType w:val="hybridMultilevel"/>
    <w:tmpl w:val="90FA55A4"/>
    <w:lvl w:ilvl="0" w:tplc="0E6E089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AB29A5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BAA714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21E69F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488CC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FA9B2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2802353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F7002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4AB0E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42C54D80"/>
    <w:multiLevelType w:val="hybridMultilevel"/>
    <w:tmpl w:val="BF722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C0F0A"/>
    <w:multiLevelType w:val="hybridMultilevel"/>
    <w:tmpl w:val="620A75A8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4FBD4853"/>
    <w:multiLevelType w:val="hybridMultilevel"/>
    <w:tmpl w:val="B622B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67ABA"/>
    <w:multiLevelType w:val="hybridMultilevel"/>
    <w:tmpl w:val="2550C52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67DE0A7D"/>
    <w:multiLevelType w:val="hybridMultilevel"/>
    <w:tmpl w:val="BFF24E10"/>
    <w:lvl w:ilvl="0" w:tplc="DD40A2A4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04090003">
      <w:start w:val="1"/>
      <w:numFmt w:val="bullet"/>
      <w:lvlText w:val="o"/>
      <w:lvlJc w:val="left"/>
      <w:pPr>
        <w:ind w:left="1714" w:hanging="361"/>
      </w:pPr>
      <w:rPr>
        <w:rFonts w:ascii="Courier New" w:hAnsi="Courier New" w:cs="Courier New" w:hint="default"/>
        <w:lang w:val="en-US" w:eastAsia="en-US" w:bidi="ar-SA"/>
      </w:rPr>
    </w:lvl>
    <w:lvl w:ilvl="2" w:tplc="B7560AE4"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 w:tplc="4684C938">
      <w:numFmt w:val="bullet"/>
      <w:lvlText w:val="•"/>
      <w:lvlJc w:val="left"/>
      <w:pPr>
        <w:ind w:left="3462" w:hanging="361"/>
      </w:pPr>
      <w:rPr>
        <w:rFonts w:hint="default"/>
        <w:lang w:val="en-US" w:eastAsia="en-US" w:bidi="ar-SA"/>
      </w:rPr>
    </w:lvl>
    <w:lvl w:ilvl="4" w:tplc="0D445B1E">
      <w:numFmt w:val="bullet"/>
      <w:lvlText w:val="•"/>
      <w:lvlJc w:val="left"/>
      <w:pPr>
        <w:ind w:left="4336" w:hanging="361"/>
      </w:pPr>
      <w:rPr>
        <w:rFonts w:hint="default"/>
        <w:lang w:val="en-US" w:eastAsia="en-US" w:bidi="ar-SA"/>
      </w:rPr>
    </w:lvl>
    <w:lvl w:ilvl="5" w:tplc="2102B0DA">
      <w:numFmt w:val="bullet"/>
      <w:lvlText w:val="•"/>
      <w:lvlJc w:val="left"/>
      <w:pPr>
        <w:ind w:left="5210" w:hanging="361"/>
      </w:pPr>
      <w:rPr>
        <w:rFonts w:hint="default"/>
        <w:lang w:val="en-US" w:eastAsia="en-US" w:bidi="ar-SA"/>
      </w:rPr>
    </w:lvl>
    <w:lvl w:ilvl="6" w:tplc="471C7D74">
      <w:numFmt w:val="bullet"/>
      <w:lvlText w:val="•"/>
      <w:lvlJc w:val="left"/>
      <w:pPr>
        <w:ind w:left="6084" w:hanging="361"/>
      </w:pPr>
      <w:rPr>
        <w:rFonts w:hint="default"/>
        <w:lang w:val="en-US" w:eastAsia="en-US" w:bidi="ar-SA"/>
      </w:rPr>
    </w:lvl>
    <w:lvl w:ilvl="7" w:tplc="35C647E6">
      <w:numFmt w:val="bullet"/>
      <w:lvlText w:val="•"/>
      <w:lvlJc w:val="left"/>
      <w:pPr>
        <w:ind w:left="6958" w:hanging="361"/>
      </w:pPr>
      <w:rPr>
        <w:rFonts w:hint="default"/>
        <w:lang w:val="en-US" w:eastAsia="en-US" w:bidi="ar-SA"/>
      </w:rPr>
    </w:lvl>
    <w:lvl w:ilvl="8" w:tplc="ADA8B4DA">
      <w:numFmt w:val="bullet"/>
      <w:lvlText w:val="•"/>
      <w:lvlJc w:val="left"/>
      <w:pPr>
        <w:ind w:left="7832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6C6125E6"/>
    <w:multiLevelType w:val="hybridMultilevel"/>
    <w:tmpl w:val="66F8CBF8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6E1B5017"/>
    <w:multiLevelType w:val="hybridMultilevel"/>
    <w:tmpl w:val="B0AEA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0A25ED"/>
    <w:multiLevelType w:val="hybridMultilevel"/>
    <w:tmpl w:val="37CCE572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7" w15:restartNumberingAfterBreak="0">
    <w:nsid w:val="77A82AEB"/>
    <w:multiLevelType w:val="hybridMultilevel"/>
    <w:tmpl w:val="85E2A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4"/>
  </w:num>
  <w:num w:numId="4">
    <w:abstractNumId w:val="12"/>
  </w:num>
  <w:num w:numId="5">
    <w:abstractNumId w:val="10"/>
  </w:num>
  <w:num w:numId="6">
    <w:abstractNumId w:val="9"/>
  </w:num>
  <w:num w:numId="7">
    <w:abstractNumId w:val="7"/>
  </w:num>
  <w:num w:numId="8">
    <w:abstractNumId w:val="5"/>
  </w:num>
  <w:num w:numId="9">
    <w:abstractNumId w:val="6"/>
  </w:num>
  <w:num w:numId="10">
    <w:abstractNumId w:val="3"/>
  </w:num>
  <w:num w:numId="11">
    <w:abstractNumId w:val="4"/>
  </w:num>
  <w:num w:numId="12">
    <w:abstractNumId w:val="8"/>
  </w:num>
  <w:num w:numId="13">
    <w:abstractNumId w:val="0"/>
  </w:num>
  <w:num w:numId="14">
    <w:abstractNumId w:val="1"/>
  </w:num>
  <w:num w:numId="15">
    <w:abstractNumId w:val="17"/>
  </w:num>
  <w:num w:numId="16">
    <w:abstractNumId w:val="2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920"/>
    <w:rsid w:val="00010267"/>
    <w:rsid w:val="0003326A"/>
    <w:rsid w:val="00035C1D"/>
    <w:rsid w:val="00040313"/>
    <w:rsid w:val="00040F0B"/>
    <w:rsid w:val="00054373"/>
    <w:rsid w:val="00055AB1"/>
    <w:rsid w:val="000773AD"/>
    <w:rsid w:val="000774FB"/>
    <w:rsid w:val="000928D9"/>
    <w:rsid w:val="000A5C3A"/>
    <w:rsid w:val="000B660A"/>
    <w:rsid w:val="000C4BDC"/>
    <w:rsid w:val="000D0C62"/>
    <w:rsid w:val="00112269"/>
    <w:rsid w:val="00135BF0"/>
    <w:rsid w:val="0018532E"/>
    <w:rsid w:val="00187B78"/>
    <w:rsid w:val="00190B4A"/>
    <w:rsid w:val="001962C0"/>
    <w:rsid w:val="001A00EB"/>
    <w:rsid w:val="001A5D43"/>
    <w:rsid w:val="001B500A"/>
    <w:rsid w:val="001B6598"/>
    <w:rsid w:val="001B69C2"/>
    <w:rsid w:val="001E2BDA"/>
    <w:rsid w:val="001E33E0"/>
    <w:rsid w:val="001E5116"/>
    <w:rsid w:val="001F6849"/>
    <w:rsid w:val="00235B40"/>
    <w:rsid w:val="0025218C"/>
    <w:rsid w:val="00267B3F"/>
    <w:rsid w:val="00280C3E"/>
    <w:rsid w:val="002A2DE3"/>
    <w:rsid w:val="002C4A2F"/>
    <w:rsid w:val="002D0B31"/>
    <w:rsid w:val="002E6587"/>
    <w:rsid w:val="002F51F9"/>
    <w:rsid w:val="00315B1F"/>
    <w:rsid w:val="00341C97"/>
    <w:rsid w:val="003605AE"/>
    <w:rsid w:val="003757E1"/>
    <w:rsid w:val="003836F2"/>
    <w:rsid w:val="003847CC"/>
    <w:rsid w:val="003C1FA5"/>
    <w:rsid w:val="003C57B9"/>
    <w:rsid w:val="003F193D"/>
    <w:rsid w:val="00403126"/>
    <w:rsid w:val="0041144C"/>
    <w:rsid w:val="00437538"/>
    <w:rsid w:val="00444894"/>
    <w:rsid w:val="00457E7B"/>
    <w:rsid w:val="00460546"/>
    <w:rsid w:val="00460F62"/>
    <w:rsid w:val="00463D67"/>
    <w:rsid w:val="004A7854"/>
    <w:rsid w:val="004C05DF"/>
    <w:rsid w:val="004D1154"/>
    <w:rsid w:val="004D4656"/>
    <w:rsid w:val="004F0617"/>
    <w:rsid w:val="00543CA6"/>
    <w:rsid w:val="00585C90"/>
    <w:rsid w:val="005B338D"/>
    <w:rsid w:val="005C2500"/>
    <w:rsid w:val="005D49FB"/>
    <w:rsid w:val="005F3981"/>
    <w:rsid w:val="006029DA"/>
    <w:rsid w:val="00612C20"/>
    <w:rsid w:val="00645816"/>
    <w:rsid w:val="00656BC8"/>
    <w:rsid w:val="00665585"/>
    <w:rsid w:val="006720AC"/>
    <w:rsid w:val="007057C1"/>
    <w:rsid w:val="00713308"/>
    <w:rsid w:val="00713E56"/>
    <w:rsid w:val="00724F16"/>
    <w:rsid w:val="0073384C"/>
    <w:rsid w:val="007517B4"/>
    <w:rsid w:val="00757315"/>
    <w:rsid w:val="007634A0"/>
    <w:rsid w:val="00783204"/>
    <w:rsid w:val="00786A39"/>
    <w:rsid w:val="0079327F"/>
    <w:rsid w:val="007E3AF5"/>
    <w:rsid w:val="007E441E"/>
    <w:rsid w:val="00807350"/>
    <w:rsid w:val="00836EE8"/>
    <w:rsid w:val="008564D5"/>
    <w:rsid w:val="008769CB"/>
    <w:rsid w:val="008D74A5"/>
    <w:rsid w:val="008E5CC6"/>
    <w:rsid w:val="008F6A9C"/>
    <w:rsid w:val="009351E0"/>
    <w:rsid w:val="00966EA1"/>
    <w:rsid w:val="00970FB1"/>
    <w:rsid w:val="009840A4"/>
    <w:rsid w:val="009940AF"/>
    <w:rsid w:val="009A05D8"/>
    <w:rsid w:val="009B1A07"/>
    <w:rsid w:val="009C0FDA"/>
    <w:rsid w:val="009E0F05"/>
    <w:rsid w:val="00A022B8"/>
    <w:rsid w:val="00A17EEC"/>
    <w:rsid w:val="00A62F33"/>
    <w:rsid w:val="00A655B6"/>
    <w:rsid w:val="00A77272"/>
    <w:rsid w:val="00A922AA"/>
    <w:rsid w:val="00AA0FA8"/>
    <w:rsid w:val="00AB1439"/>
    <w:rsid w:val="00AC026C"/>
    <w:rsid w:val="00AD28E7"/>
    <w:rsid w:val="00B03B24"/>
    <w:rsid w:val="00B320E5"/>
    <w:rsid w:val="00B46CAF"/>
    <w:rsid w:val="00B74E70"/>
    <w:rsid w:val="00B76FF0"/>
    <w:rsid w:val="00BA56A0"/>
    <w:rsid w:val="00BB7192"/>
    <w:rsid w:val="00BC2E1A"/>
    <w:rsid w:val="00BF2443"/>
    <w:rsid w:val="00C10FCB"/>
    <w:rsid w:val="00C2013E"/>
    <w:rsid w:val="00C319C0"/>
    <w:rsid w:val="00C36F8E"/>
    <w:rsid w:val="00C57899"/>
    <w:rsid w:val="00C63EA5"/>
    <w:rsid w:val="00C70954"/>
    <w:rsid w:val="00C7770A"/>
    <w:rsid w:val="00CA3D2A"/>
    <w:rsid w:val="00CA5E75"/>
    <w:rsid w:val="00CD26E5"/>
    <w:rsid w:val="00D00920"/>
    <w:rsid w:val="00D07F0C"/>
    <w:rsid w:val="00D308A3"/>
    <w:rsid w:val="00D41BB6"/>
    <w:rsid w:val="00D649D5"/>
    <w:rsid w:val="00D82C15"/>
    <w:rsid w:val="00D8354C"/>
    <w:rsid w:val="00DC1D1F"/>
    <w:rsid w:val="00DD665E"/>
    <w:rsid w:val="00DE044F"/>
    <w:rsid w:val="00DF44F9"/>
    <w:rsid w:val="00E216DD"/>
    <w:rsid w:val="00E26073"/>
    <w:rsid w:val="00E31B3D"/>
    <w:rsid w:val="00E607F4"/>
    <w:rsid w:val="00E6103E"/>
    <w:rsid w:val="00E91194"/>
    <w:rsid w:val="00EE49F4"/>
    <w:rsid w:val="00EF0315"/>
    <w:rsid w:val="00F358D4"/>
    <w:rsid w:val="00F50B59"/>
    <w:rsid w:val="00F557DB"/>
    <w:rsid w:val="00F56F70"/>
    <w:rsid w:val="00F63483"/>
    <w:rsid w:val="00F72C86"/>
    <w:rsid w:val="00F75D65"/>
    <w:rsid w:val="00FA5C21"/>
    <w:rsid w:val="00FB4E45"/>
    <w:rsid w:val="00FE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BC316B7"/>
  <w15:docId w15:val="{EE5F3A67-4ECA-42C1-874C-16CCDF56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9" w:right="89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240"/>
      <w:ind w:left="3014" w:right="95" w:hanging="2760"/>
    </w:pPr>
    <w:rPr>
      <w:rFonts w:ascii="Arial" w:eastAsia="Arial" w:hAnsi="Arial" w:cs="Arial"/>
      <w:sz w:val="46"/>
      <w:szCs w:val="46"/>
    </w:rPr>
  </w:style>
  <w:style w:type="paragraph" w:styleId="ListParagraph">
    <w:name w:val="List Paragraph"/>
    <w:basedOn w:val="Normal"/>
    <w:uiPriority w:val="34"/>
    <w:qFormat/>
    <w:pPr>
      <w:spacing w:before="17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D49FB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4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0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0AF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0AF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0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0AF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2443"/>
    <w:pPr>
      <w:widowControl/>
      <w:autoSpaceDE/>
      <w:autoSpaceDN/>
    </w:pPr>
    <w:rPr>
      <w:rFonts w:ascii="Calibri" w:eastAsia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A772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327F"/>
    <w:rPr>
      <w:color w:val="800080" w:themeColor="followedHyperlink"/>
      <w:u w:val="single"/>
    </w:rPr>
  </w:style>
  <w:style w:type="paragraph" w:customStyle="1" w:styleId="Default">
    <w:name w:val="Default"/>
    <w:rsid w:val="008564D5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458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581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45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581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95667">
          <w:marLeft w:val="25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3141">
          <w:marLeft w:val="25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.wa.gov/sites/default/files/public/documents/Facilities/LCM/LCM%20Stakeholder%2010%20V5%2006232022.pdf" TargetMode="External"/><Relationship Id="rId13" Type="http://schemas.openxmlformats.org/officeDocument/2006/relationships/hyperlink" Target="https://des.wa.gov/services/facilities-leasing/capitol-campus/capitol-campus-projects/legislative-campus-modernization/lcm-sepa-checklist-review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des.wa.gov/services/facilities-leasing/capitol-campus/capitol-campus-projects/legislative-campus-modernization/joel-m-pritchard-library-projec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es.wa.gov/services/facilities-leasing/capitol-campus/capitol-campus-projects/legislative-campus-modernization/irving-r-newhouse-building-replacement-project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es.wa.gov/services/facilities-leasing/capitol-campus/capitol-campus-projects/legislative-campus-modernization/lcm-public-meetings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des.wa.gov/services/facilities-leasing/capitol-campus/capitol-campus-projects/legislative-campus-modernization/joel-m-pritchard-library-project" TargetMode="External"/><Relationship Id="rId14" Type="http://schemas.openxmlformats.org/officeDocument/2006/relationships/hyperlink" Target="mailto:DESLCM@des.wa.go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Stakeholder Listening Sessions regarding Deschutes Parkway Rulemaking Effort</vt:lpstr>
    </vt:vector>
  </TitlesOfParts>
  <Company>DES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Stakeholder Listening Sessions regarding Deschutes Parkway Rulemaking Effort</dc:title>
  <dc:subject>Historic preservation organization perspective</dc:subject>
  <dc:creator>Abdullah, Muhammad</dc:creator>
  <cp:lastModifiedBy>Streeter, Ginny (DES)</cp:lastModifiedBy>
  <cp:revision>3</cp:revision>
  <cp:lastPrinted>2021-11-10T17:31:00Z</cp:lastPrinted>
  <dcterms:created xsi:type="dcterms:W3CDTF">2022-06-27T21:35:00Z</dcterms:created>
  <dcterms:modified xsi:type="dcterms:W3CDTF">2022-06-27T21:57:00Z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2021-09-08T00:00:00Z</vt:filetime>
  </property>
</Properties>
</file>