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61ED" w14:textId="1A4BCB70" w:rsidR="00D00920" w:rsidRDefault="009940A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55072" behindDoc="1" locked="0" layoutInCell="1" allowOverlap="1" wp14:anchorId="635F52C8" wp14:editId="5AF7A1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3347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2A7C0" w14:textId="77777777" w:rsidR="00D00920" w:rsidRDefault="00D00920">
      <w:pPr>
        <w:pStyle w:val="BodyText"/>
        <w:rPr>
          <w:rFonts w:ascii="Times New Roman"/>
          <w:sz w:val="20"/>
        </w:rPr>
      </w:pPr>
    </w:p>
    <w:p w14:paraId="10FA44E6" w14:textId="77777777" w:rsidR="00D00920" w:rsidRPr="00280C3E" w:rsidRDefault="00D00920">
      <w:pPr>
        <w:pStyle w:val="BodyText"/>
        <w:rPr>
          <w:rFonts w:ascii="Times New Roman"/>
          <w:sz w:val="18"/>
        </w:rPr>
      </w:pPr>
    </w:p>
    <w:p w14:paraId="6C31DE5B" w14:textId="77777777" w:rsidR="00D00920" w:rsidRPr="00280C3E" w:rsidRDefault="00D00920">
      <w:pPr>
        <w:pStyle w:val="BodyText"/>
        <w:rPr>
          <w:rFonts w:ascii="Times New Roman"/>
          <w:sz w:val="18"/>
        </w:rPr>
      </w:pPr>
    </w:p>
    <w:p w14:paraId="457C9206" w14:textId="77777777" w:rsidR="001B500A" w:rsidRDefault="008769CB" w:rsidP="008564D5">
      <w:pPr>
        <w:pStyle w:val="Title"/>
        <w:spacing w:before="0"/>
        <w:ind w:left="0" w:right="0" w:firstLine="0"/>
        <w:jc w:val="center"/>
        <w:rPr>
          <w:spacing w:val="-9"/>
          <w:sz w:val="24"/>
        </w:rPr>
      </w:pPr>
      <w:r w:rsidRPr="00280C3E">
        <w:rPr>
          <w:spacing w:val="-10"/>
          <w:sz w:val="24"/>
        </w:rPr>
        <w:t>Meeting Summary</w:t>
      </w:r>
      <w:r w:rsidRPr="00280C3E">
        <w:rPr>
          <w:spacing w:val="-22"/>
          <w:sz w:val="24"/>
        </w:rPr>
        <w:t xml:space="preserve"> </w:t>
      </w:r>
      <w:r w:rsidRPr="00280C3E">
        <w:rPr>
          <w:spacing w:val="-9"/>
          <w:sz w:val="24"/>
        </w:rPr>
        <w:t>–</w:t>
      </w:r>
      <w:r w:rsidRPr="00280C3E">
        <w:rPr>
          <w:spacing w:val="-20"/>
          <w:sz w:val="24"/>
        </w:rPr>
        <w:t xml:space="preserve"> </w:t>
      </w:r>
      <w:r w:rsidRPr="00280C3E">
        <w:rPr>
          <w:spacing w:val="-9"/>
          <w:sz w:val="24"/>
        </w:rPr>
        <w:t xml:space="preserve">Legislative Campus Modernization (LCM) </w:t>
      </w:r>
    </w:p>
    <w:p w14:paraId="4387732C" w14:textId="05449E88" w:rsidR="008769CB" w:rsidRDefault="00A77272" w:rsidP="008564D5">
      <w:pPr>
        <w:pStyle w:val="Title"/>
        <w:spacing w:before="0"/>
        <w:ind w:left="0" w:right="0" w:firstLine="0"/>
        <w:jc w:val="center"/>
        <w:rPr>
          <w:sz w:val="23"/>
          <w:szCs w:val="23"/>
        </w:rPr>
      </w:pPr>
      <w:r>
        <w:rPr>
          <w:spacing w:val="-9"/>
          <w:sz w:val="24"/>
        </w:rPr>
        <w:t>Stakeholder Meeting #</w:t>
      </w:r>
      <w:r w:rsidR="00DA149F">
        <w:rPr>
          <w:spacing w:val="-9"/>
          <w:sz w:val="24"/>
        </w:rPr>
        <w:t>12</w:t>
      </w:r>
    </w:p>
    <w:p w14:paraId="6641AE4E" w14:textId="77777777" w:rsidR="008564D5" w:rsidRPr="008564D5" w:rsidRDefault="008564D5" w:rsidP="008564D5">
      <w:pPr>
        <w:pStyle w:val="Title"/>
        <w:spacing w:before="0"/>
        <w:ind w:left="0" w:right="0" w:firstLine="0"/>
        <w:jc w:val="center"/>
        <w:rPr>
          <w:spacing w:val="-9"/>
          <w:sz w:val="24"/>
        </w:rPr>
      </w:pPr>
    </w:p>
    <w:p w14:paraId="327BC4A2" w14:textId="5AB4354E" w:rsidR="00D00920" w:rsidRPr="00B76FF0" w:rsidRDefault="009940AF" w:rsidP="008769CB">
      <w:pPr>
        <w:spacing w:after="240" w:line="237" w:lineRule="auto"/>
        <w:rPr>
          <w:b/>
        </w:rPr>
      </w:pPr>
      <w:r w:rsidRPr="00B76FF0">
        <w:rPr>
          <w:b/>
        </w:rPr>
        <w:t xml:space="preserve">Meeting date: </w:t>
      </w:r>
      <w:r w:rsidR="00DA149F">
        <w:rPr>
          <w:b/>
        </w:rPr>
        <w:t>August 25</w:t>
      </w:r>
      <w:r w:rsidR="00656BC8">
        <w:rPr>
          <w:b/>
        </w:rPr>
        <w:t xml:space="preserve">, </w:t>
      </w:r>
      <w:proofErr w:type="gramStart"/>
      <w:r w:rsidR="00656BC8">
        <w:rPr>
          <w:b/>
        </w:rPr>
        <w:t>2022</w:t>
      </w:r>
      <w:proofErr w:type="gramEnd"/>
      <w:r w:rsidR="00656BC8">
        <w:rPr>
          <w:b/>
        </w:rPr>
        <w:t xml:space="preserve"> at 3:</w:t>
      </w:r>
      <w:r w:rsidR="000B7763">
        <w:rPr>
          <w:b/>
        </w:rPr>
        <w:t>15</w:t>
      </w:r>
      <w:r w:rsidR="00C63EA5" w:rsidRPr="00B76FF0">
        <w:rPr>
          <w:b/>
        </w:rPr>
        <w:t xml:space="preserve"> </w:t>
      </w:r>
      <w:r w:rsidRPr="00B76FF0">
        <w:rPr>
          <w:b/>
        </w:rPr>
        <w:t>p.m.</w:t>
      </w:r>
      <w:r w:rsidR="00C63EA5" w:rsidRPr="00B76FF0">
        <w:rPr>
          <w:b/>
        </w:rPr>
        <w:t xml:space="preserve"> via Zoom</w:t>
      </w:r>
    </w:p>
    <w:p w14:paraId="71CC425B" w14:textId="60B36C9E" w:rsidR="000B1CFA" w:rsidRDefault="00235B40" w:rsidP="000B1CFA">
      <w:pPr>
        <w:spacing w:after="240" w:line="237" w:lineRule="auto"/>
        <w:rPr>
          <w:bCs/>
        </w:rPr>
      </w:pPr>
      <w:r w:rsidRPr="00B76FF0">
        <w:rPr>
          <w:b/>
        </w:rPr>
        <w:t>Attendees:</w:t>
      </w:r>
      <w:r w:rsidRPr="00F63483">
        <w:rPr>
          <w:bCs/>
        </w:rPr>
        <w:t xml:space="preserve"> </w:t>
      </w:r>
      <w:r w:rsidR="000B1CFA">
        <w:rPr>
          <w:bCs/>
        </w:rPr>
        <w:t xml:space="preserve">Anneliese Irby, DES, Clarissa Easton, DES, Ginny Streeter, DES, Tamara Hayes, DES, Ann Larson, DES, Ariel Birtley, DES, Ashley Howard, DES, </w:t>
      </w:r>
      <w:r w:rsidR="00700A55">
        <w:rPr>
          <w:bCs/>
        </w:rPr>
        <w:t xml:space="preserve">Anne Knight, </w:t>
      </w:r>
      <w:r w:rsidR="000B1CFA">
        <w:rPr>
          <w:bCs/>
        </w:rPr>
        <w:t>Sarah Bannister, Bill Frare, DES, Bob Jacobs, Brent Chapman</w:t>
      </w:r>
      <w:r w:rsidR="00C451B0">
        <w:rPr>
          <w:bCs/>
        </w:rPr>
        <w:t>, DES</w:t>
      </w:r>
      <w:r w:rsidR="000B1CFA">
        <w:rPr>
          <w:bCs/>
        </w:rPr>
        <w:t>, Christopher Ferguson, DES, Christine Traber, Cynthia Barrett, DES, Debbie Ramos, Eilean Davis, Holly Davies,</w:t>
      </w:r>
      <w:r w:rsidR="00A34E3E">
        <w:rPr>
          <w:bCs/>
        </w:rPr>
        <w:t xml:space="preserve"> Holly </w:t>
      </w:r>
      <w:proofErr w:type="spellStart"/>
      <w:r w:rsidR="00A34E3E">
        <w:rPr>
          <w:bCs/>
        </w:rPr>
        <w:t>Gadba</w:t>
      </w:r>
      <w:r w:rsidR="00700A55">
        <w:rPr>
          <w:bCs/>
        </w:rPr>
        <w:t>w</w:t>
      </w:r>
      <w:proofErr w:type="spellEnd"/>
      <w:r w:rsidR="000B1CFA">
        <w:rPr>
          <w:bCs/>
        </w:rPr>
        <w:t xml:space="preserve"> J.A.</w:t>
      </w:r>
      <w:r w:rsidR="00C451B0">
        <w:rPr>
          <w:bCs/>
        </w:rPr>
        <w:t xml:space="preserve"> (only initials given)</w:t>
      </w:r>
      <w:r w:rsidR="000B1CFA">
        <w:rPr>
          <w:bCs/>
        </w:rPr>
        <w:t xml:space="preserve">, James Crandall, </w:t>
      </w:r>
      <w:r w:rsidR="003014C0">
        <w:rPr>
          <w:bCs/>
        </w:rPr>
        <w:t xml:space="preserve">John Lyons, DES, Jeff </w:t>
      </w:r>
      <w:proofErr w:type="spellStart"/>
      <w:r w:rsidR="003014C0">
        <w:rPr>
          <w:bCs/>
        </w:rPr>
        <w:t>Landrie</w:t>
      </w:r>
      <w:proofErr w:type="spellEnd"/>
      <w:r w:rsidR="003014C0">
        <w:rPr>
          <w:bCs/>
        </w:rPr>
        <w:t xml:space="preserve">, Kim Jorgenson, Kris Tucker, Leonard Bauer, Linda Kent, DES, Lisa Bono, Lorie Hewitt, Marni Heffron, Marygrace </w:t>
      </w:r>
      <w:proofErr w:type="spellStart"/>
      <w:r w:rsidR="003014C0">
        <w:rPr>
          <w:bCs/>
        </w:rPr>
        <w:t>Goddu</w:t>
      </w:r>
      <w:proofErr w:type="spellEnd"/>
      <w:r w:rsidR="003014C0">
        <w:rPr>
          <w:bCs/>
        </w:rPr>
        <w:t xml:space="preserve">, </w:t>
      </w:r>
      <w:r w:rsidR="00A34E3E">
        <w:rPr>
          <w:bCs/>
        </w:rPr>
        <w:t>Michael Petty, DES,</w:t>
      </w:r>
      <w:r w:rsidR="00700A55">
        <w:rPr>
          <w:bCs/>
        </w:rPr>
        <w:t xml:space="preserve"> </w:t>
      </w:r>
      <w:r w:rsidR="003014C0">
        <w:rPr>
          <w:bCs/>
        </w:rPr>
        <w:t xml:space="preserve">Nick </w:t>
      </w:r>
      <w:proofErr w:type="spellStart"/>
      <w:r w:rsidR="003014C0">
        <w:rPr>
          <w:bCs/>
        </w:rPr>
        <w:t>Clesi</w:t>
      </w:r>
      <w:proofErr w:type="spellEnd"/>
      <w:r w:rsidR="003014C0">
        <w:rPr>
          <w:bCs/>
        </w:rPr>
        <w:t xml:space="preserve">, Paul Campos, Kevin Pierce, Rachel </w:t>
      </w:r>
      <w:proofErr w:type="spellStart"/>
      <w:r w:rsidR="003014C0">
        <w:rPr>
          <w:bCs/>
        </w:rPr>
        <w:t>Newmann</w:t>
      </w:r>
      <w:proofErr w:type="spellEnd"/>
      <w:r w:rsidR="003014C0">
        <w:rPr>
          <w:bCs/>
        </w:rPr>
        <w:t>, Colleen Rust, Ruth Baleiko, Sarian Scott, Sharon Case, Sidney Hunt</w:t>
      </w:r>
      <w:r w:rsidR="00A34E3E">
        <w:rPr>
          <w:bCs/>
        </w:rPr>
        <w:t xml:space="preserve"> DES, Sue Hedrick, Wanda Hedrick</w:t>
      </w:r>
      <w:r w:rsidR="00700A55">
        <w:rPr>
          <w:bCs/>
        </w:rPr>
        <w:t>, Valerie Hammett, Washington Trust (Chris)</w:t>
      </w:r>
    </w:p>
    <w:p w14:paraId="5FB68411" w14:textId="7E493410" w:rsidR="009C0FDA" w:rsidRPr="00C451B0" w:rsidRDefault="00612C20" w:rsidP="00A34E3E">
      <w:pPr>
        <w:spacing w:after="240" w:line="237" w:lineRule="auto"/>
        <w:rPr>
          <w:b/>
          <w:bCs/>
        </w:rPr>
      </w:pPr>
      <w:r w:rsidRPr="00C451B0">
        <w:rPr>
          <w:b/>
          <w:bCs/>
        </w:rPr>
        <w:t>Presenters:</w:t>
      </w:r>
    </w:p>
    <w:p w14:paraId="5D9A52F1" w14:textId="3D23ECF3" w:rsidR="000B7763" w:rsidRPr="00A34E3E" w:rsidRDefault="00656BC8" w:rsidP="00A34E3E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Clarissa Easton, </w:t>
      </w:r>
      <w:r w:rsidR="00A34E3E">
        <w:rPr>
          <w:rFonts w:eastAsiaTheme="minorHAnsi"/>
          <w:color w:val="000000"/>
        </w:rPr>
        <w:t xml:space="preserve">AIA, </w:t>
      </w:r>
      <w:r w:rsidR="00463D67">
        <w:rPr>
          <w:rFonts w:eastAsiaTheme="minorHAnsi"/>
          <w:color w:val="000000"/>
        </w:rPr>
        <w:t>LCM Project Director</w:t>
      </w:r>
    </w:p>
    <w:p w14:paraId="2B21432B" w14:textId="6224FB76" w:rsidR="000B7763" w:rsidRDefault="00D20403" w:rsidP="000B7763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Sidney Hunt, Modular/</w:t>
      </w:r>
      <w:proofErr w:type="gramStart"/>
      <w:r>
        <w:rPr>
          <w:rFonts w:eastAsiaTheme="minorHAnsi"/>
          <w:color w:val="000000"/>
        </w:rPr>
        <w:t>Pritchard</w:t>
      </w:r>
      <w:proofErr w:type="gramEnd"/>
      <w:r>
        <w:rPr>
          <w:rFonts w:eastAsiaTheme="minorHAnsi"/>
          <w:color w:val="000000"/>
        </w:rPr>
        <w:t xml:space="preserve"> and O’Brien Project Manager</w:t>
      </w:r>
    </w:p>
    <w:p w14:paraId="59AE4D57" w14:textId="27CB2A7C" w:rsidR="00D20403" w:rsidRDefault="00D20403" w:rsidP="000B7763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Ariel Birtl</w:t>
      </w:r>
      <w:r w:rsidR="005C375A">
        <w:rPr>
          <w:rFonts w:eastAsiaTheme="minorHAnsi"/>
          <w:color w:val="000000"/>
        </w:rPr>
        <w:t>e</w:t>
      </w:r>
      <w:r>
        <w:rPr>
          <w:rFonts w:eastAsiaTheme="minorHAnsi"/>
          <w:color w:val="000000"/>
        </w:rPr>
        <w:t>y, Newhouse Project Manager</w:t>
      </w:r>
    </w:p>
    <w:p w14:paraId="06B329E8" w14:textId="77777777" w:rsidR="009D00A9" w:rsidRDefault="009D00A9" w:rsidP="009D00A9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Christine Traber, AIA, Miller Hull</w:t>
      </w:r>
    </w:p>
    <w:p w14:paraId="14CFE5E4" w14:textId="6319D72C" w:rsidR="009D00A9" w:rsidRPr="009D00A9" w:rsidRDefault="009D00A9" w:rsidP="009D00A9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Ruth Baleiko, FAIA, Miller Hull</w:t>
      </w:r>
    </w:p>
    <w:p w14:paraId="107014C5" w14:textId="673061C6" w:rsidR="009D00A9" w:rsidRPr="000B7763" w:rsidRDefault="009D00A9" w:rsidP="000B7763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Mark </w:t>
      </w:r>
      <w:proofErr w:type="spellStart"/>
      <w:r>
        <w:rPr>
          <w:rFonts w:eastAsiaTheme="minorHAnsi"/>
          <w:color w:val="000000"/>
        </w:rPr>
        <w:t>Tilbe</w:t>
      </w:r>
      <w:proofErr w:type="spellEnd"/>
      <w:r>
        <w:rPr>
          <w:rFonts w:eastAsiaTheme="minorHAnsi"/>
          <w:color w:val="000000"/>
        </w:rPr>
        <w:t xml:space="preserve">, Landscape Architect, </w:t>
      </w:r>
      <w:proofErr w:type="spellStart"/>
      <w:r>
        <w:rPr>
          <w:rFonts w:eastAsiaTheme="minorHAnsi"/>
          <w:color w:val="000000"/>
        </w:rPr>
        <w:t>Murase</w:t>
      </w:r>
      <w:proofErr w:type="spellEnd"/>
      <w:r w:rsidR="00B972EC">
        <w:rPr>
          <w:rFonts w:eastAsiaTheme="minorHAnsi"/>
          <w:color w:val="000000"/>
        </w:rPr>
        <w:t xml:space="preserve"> Associates</w:t>
      </w:r>
    </w:p>
    <w:p w14:paraId="07B125EF" w14:textId="77777777" w:rsidR="00836EE8" w:rsidRPr="00836EE8" w:rsidRDefault="00836EE8" w:rsidP="00836EE8">
      <w:pPr>
        <w:pStyle w:val="ListParagraph"/>
        <w:tabs>
          <w:tab w:val="left" w:pos="840"/>
          <w:tab w:val="left" w:pos="841"/>
        </w:tabs>
        <w:ind w:left="720" w:firstLine="0"/>
        <w:rPr>
          <w:rFonts w:eastAsiaTheme="minorHAnsi"/>
          <w:color w:val="000000"/>
        </w:rPr>
      </w:pPr>
    </w:p>
    <w:p w14:paraId="36D6BF99" w14:textId="5ACA8CF1" w:rsidR="00B63F68" w:rsidRPr="00C451B0" w:rsidRDefault="007E441E" w:rsidP="00D20403">
      <w:pPr>
        <w:tabs>
          <w:tab w:val="left" w:pos="840"/>
          <w:tab w:val="left" w:pos="841"/>
        </w:tabs>
        <w:rPr>
          <w:b/>
          <w:bCs/>
        </w:rPr>
      </w:pPr>
      <w:r w:rsidRPr="00C451B0">
        <w:rPr>
          <w:b/>
          <w:bCs/>
        </w:rPr>
        <w:t>M</w:t>
      </w:r>
      <w:r w:rsidR="00C451B0">
        <w:rPr>
          <w:b/>
          <w:bCs/>
        </w:rPr>
        <w:t>eeting Agenda</w:t>
      </w:r>
    </w:p>
    <w:p w14:paraId="6E1165E7" w14:textId="21183148" w:rsidR="00D20403" w:rsidRDefault="00D20403" w:rsidP="00D20403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>90-day look ahead</w:t>
      </w:r>
    </w:p>
    <w:p w14:paraId="38274E01" w14:textId="32E64E2C" w:rsidR="00D20403" w:rsidRDefault="00D20403" w:rsidP="00D20403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>Upcoming decisions</w:t>
      </w:r>
    </w:p>
    <w:p w14:paraId="4851B47E" w14:textId="79A1C974" w:rsidR="00D20403" w:rsidRDefault="00D20403" w:rsidP="00D20403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>SEPA environmental review update</w:t>
      </w:r>
    </w:p>
    <w:p w14:paraId="4EBA5EF4" w14:textId="6BDE76BE" w:rsidR="00D20403" w:rsidRDefault="00D20403" w:rsidP="00D20403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>Updates on Legislative Modular Building, Newhouse Replacement Project and Pritchard and O’Brien Project</w:t>
      </w:r>
    </w:p>
    <w:p w14:paraId="507E34FC" w14:textId="52B37930" w:rsidR="007D1FF3" w:rsidRDefault="007D1FF3" w:rsidP="00D20403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>Stakeholder questions and comments</w:t>
      </w:r>
    </w:p>
    <w:p w14:paraId="4CDF7279" w14:textId="333779A7" w:rsidR="00D20403" w:rsidRDefault="00D20403" w:rsidP="00D20403">
      <w:pPr>
        <w:tabs>
          <w:tab w:val="left" w:pos="840"/>
          <w:tab w:val="left" w:pos="841"/>
        </w:tabs>
      </w:pPr>
    </w:p>
    <w:p w14:paraId="7242D282" w14:textId="5882C9D5" w:rsidR="00D20403" w:rsidRPr="00C451B0" w:rsidRDefault="00D20403" w:rsidP="00D20403">
      <w:pPr>
        <w:tabs>
          <w:tab w:val="left" w:pos="840"/>
          <w:tab w:val="left" w:pos="841"/>
        </w:tabs>
        <w:rPr>
          <w:b/>
          <w:bCs/>
        </w:rPr>
      </w:pPr>
      <w:r w:rsidRPr="00C451B0">
        <w:rPr>
          <w:b/>
          <w:bCs/>
        </w:rPr>
        <w:t>M</w:t>
      </w:r>
      <w:r w:rsidR="00C451B0" w:rsidRPr="00C451B0">
        <w:rPr>
          <w:b/>
          <w:bCs/>
        </w:rPr>
        <w:t>eeting Overview</w:t>
      </w:r>
    </w:p>
    <w:p w14:paraId="5F7B1806" w14:textId="29793D76" w:rsidR="007D1FF3" w:rsidRDefault="007D1FF3" w:rsidP="007D1FF3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Clarissa Easton shared the LCM schedule for the next 90 days (details included in meeting presentation posted along with this document).</w:t>
      </w:r>
    </w:p>
    <w:p w14:paraId="39CF1528" w14:textId="75BFE62F" w:rsidR="00D70284" w:rsidRDefault="007D1FF3" w:rsidP="0074418F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 xml:space="preserve">Clarissa also </w:t>
      </w:r>
      <w:r w:rsidR="006C63A7">
        <w:t>presented</w:t>
      </w:r>
      <w:r>
        <w:t xml:space="preserve"> a high</w:t>
      </w:r>
      <w:r w:rsidR="00D70284">
        <w:t>-</w:t>
      </w:r>
      <w:r>
        <w:t xml:space="preserve">level overview of decisions </w:t>
      </w:r>
      <w:r w:rsidR="00D70284">
        <w:t>to</w:t>
      </w:r>
      <w:r>
        <w:t xml:space="preserve"> be made </w:t>
      </w:r>
      <w:r w:rsidR="0074418F">
        <w:t>before the next Stakeholder meeting</w:t>
      </w:r>
      <w:r>
        <w:t>. Th</w:t>
      </w:r>
      <w:r w:rsidR="00D70284">
        <w:t xml:space="preserve">ey </w:t>
      </w:r>
      <w:r>
        <w:t xml:space="preserve">include: </w:t>
      </w:r>
    </w:p>
    <w:p w14:paraId="5B91A035" w14:textId="77777777" w:rsidR="00D70284" w:rsidRDefault="007D1FF3" w:rsidP="00D70284">
      <w:pPr>
        <w:pStyle w:val="ListParagraph"/>
        <w:numPr>
          <w:ilvl w:val="1"/>
          <w:numId w:val="16"/>
        </w:numPr>
        <w:tabs>
          <w:tab w:val="left" w:pos="840"/>
          <w:tab w:val="left" w:pos="841"/>
        </w:tabs>
      </w:pPr>
      <w:r>
        <w:t>Consensus on Newhouse exterior elevations</w:t>
      </w:r>
      <w:r w:rsidR="00D70284">
        <w:t>.</w:t>
      </w:r>
      <w:r>
        <w:t xml:space="preserve"> </w:t>
      </w:r>
    </w:p>
    <w:p w14:paraId="5447D707" w14:textId="3649F148" w:rsidR="00D70284" w:rsidRDefault="00D70284" w:rsidP="00D70284">
      <w:pPr>
        <w:pStyle w:val="ListParagraph"/>
        <w:numPr>
          <w:ilvl w:val="1"/>
          <w:numId w:val="16"/>
        </w:numPr>
        <w:tabs>
          <w:tab w:val="left" w:pos="840"/>
          <w:tab w:val="left" w:pos="841"/>
        </w:tabs>
      </w:pPr>
      <w:r>
        <w:t>D</w:t>
      </w:r>
      <w:r w:rsidR="007D1FF3">
        <w:t xml:space="preserve">ecisions on </w:t>
      </w:r>
      <w:r>
        <w:t xml:space="preserve">ways salvaged materials will be </w:t>
      </w:r>
      <w:r w:rsidR="00C451B0">
        <w:t>integrated</w:t>
      </w:r>
      <w:r>
        <w:t xml:space="preserve"> in</w:t>
      </w:r>
      <w:r w:rsidR="00C451B0">
        <w:t>to</w:t>
      </w:r>
      <w:r>
        <w:t xml:space="preserve"> the design of Newhouse.</w:t>
      </w:r>
    </w:p>
    <w:p w14:paraId="2CE2A91E" w14:textId="5A911F6B" w:rsidR="00E86A04" w:rsidRDefault="00D70284" w:rsidP="00D70284">
      <w:pPr>
        <w:pStyle w:val="ListParagraph"/>
        <w:numPr>
          <w:ilvl w:val="1"/>
          <w:numId w:val="16"/>
        </w:numPr>
        <w:tabs>
          <w:tab w:val="left" w:pos="840"/>
          <w:tab w:val="left" w:pos="841"/>
        </w:tabs>
      </w:pPr>
      <w:r>
        <w:t xml:space="preserve">Update on the </w:t>
      </w:r>
      <w:proofErr w:type="spellStart"/>
      <w:r>
        <w:t>ArtsWA</w:t>
      </w:r>
      <w:proofErr w:type="spellEnd"/>
      <w:r>
        <w:t xml:space="preserve"> Newhouse artist selection and tentative timeline.</w:t>
      </w:r>
    </w:p>
    <w:p w14:paraId="6D5A4F35" w14:textId="1306EC6F" w:rsidR="00F85B40" w:rsidRDefault="00F85B40" w:rsidP="00B67241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SEPA environmental review update</w:t>
      </w:r>
    </w:p>
    <w:p w14:paraId="7AC91CC9" w14:textId="713D2D0A" w:rsidR="00E86A04" w:rsidRDefault="00E86A04" w:rsidP="00F85B40">
      <w:pPr>
        <w:pStyle w:val="ListParagraph"/>
        <w:numPr>
          <w:ilvl w:val="1"/>
          <w:numId w:val="16"/>
        </w:numPr>
        <w:tabs>
          <w:tab w:val="left" w:pos="840"/>
          <w:tab w:val="left" w:pos="841"/>
        </w:tabs>
      </w:pPr>
      <w:r>
        <w:t xml:space="preserve">Legislative Modular Building SEPA </w:t>
      </w:r>
      <w:r w:rsidR="00F85B40">
        <w:t xml:space="preserve">14-day public </w:t>
      </w:r>
      <w:r w:rsidR="0074418F">
        <w:t xml:space="preserve">review and </w:t>
      </w:r>
      <w:r w:rsidR="00F85B40">
        <w:t>comment period ended on Monday, Aug. 22</w:t>
      </w:r>
      <w:r w:rsidR="005C375A">
        <w:t>, 2022</w:t>
      </w:r>
      <w:r w:rsidR="00F85B40">
        <w:t xml:space="preserve">. We received some comments from the Department of Ecology and are in the process of reviewing and responding to those comments. </w:t>
      </w:r>
    </w:p>
    <w:p w14:paraId="0E1A9508" w14:textId="31AE8529" w:rsidR="00F85B40" w:rsidRDefault="00F85B40" w:rsidP="00F85B40">
      <w:pPr>
        <w:pStyle w:val="ListParagraph"/>
        <w:numPr>
          <w:ilvl w:val="1"/>
          <w:numId w:val="16"/>
        </w:numPr>
        <w:tabs>
          <w:tab w:val="left" w:pos="840"/>
          <w:tab w:val="left" w:pos="841"/>
        </w:tabs>
      </w:pPr>
      <w:r>
        <w:lastRenderedPageBreak/>
        <w:t>The LCM Non-Project</w:t>
      </w:r>
      <w:r w:rsidR="005C375A">
        <w:t xml:space="preserve"> SEPA environmental review was released on Friday, Aug. 19, 2022. The 30-day comment period will end on Sept. 19, 2022.</w:t>
      </w:r>
    </w:p>
    <w:p w14:paraId="33C12B2C" w14:textId="73AB5B51" w:rsidR="005C375A" w:rsidRDefault="005C375A" w:rsidP="00F85B40">
      <w:pPr>
        <w:pStyle w:val="ListParagraph"/>
        <w:numPr>
          <w:ilvl w:val="1"/>
          <w:numId w:val="16"/>
        </w:numPr>
        <w:tabs>
          <w:tab w:val="left" w:pos="840"/>
          <w:tab w:val="left" w:pos="841"/>
        </w:tabs>
      </w:pPr>
      <w:r>
        <w:t xml:space="preserve">The Newhouse SEPA environmental review will be released on Friday, Sept. 2, </w:t>
      </w:r>
      <w:proofErr w:type="gramStart"/>
      <w:r>
        <w:t>2022</w:t>
      </w:r>
      <w:proofErr w:type="gramEnd"/>
      <w:r>
        <w:t xml:space="preserve"> triggering the 14-day public review and comment period.  </w:t>
      </w:r>
    </w:p>
    <w:p w14:paraId="7B9F2C99" w14:textId="53F352DC" w:rsidR="00E86A04" w:rsidRDefault="006A1036" w:rsidP="00B67241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Clarissa Easton shared an update on the newly formed Landscape Review Panel which recently held its first meeting.</w:t>
      </w:r>
      <w:r w:rsidR="0074418F">
        <w:t xml:space="preserve"> More details, including the names of those on the review panel will be shared in the coming weeks.</w:t>
      </w:r>
    </w:p>
    <w:p w14:paraId="1F03B714" w14:textId="4D97543B" w:rsidR="00C64D5D" w:rsidRDefault="00C64D5D" w:rsidP="00B67241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Sidney Hunt provided an update on the Legislative Modular Building</w:t>
      </w:r>
      <w:r w:rsidR="009D00A9">
        <w:t xml:space="preserve"> that included</w:t>
      </w:r>
      <w:r>
        <w:t xml:space="preserve"> progress photos and an update on the construction schedule and plans for use over the next 6-8 years.</w:t>
      </w:r>
    </w:p>
    <w:p w14:paraId="1C791B2C" w14:textId="4F35DB41" w:rsidR="00336A39" w:rsidRDefault="00C64D5D" w:rsidP="00B67241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 xml:space="preserve">Sidney provided a progress </w:t>
      </w:r>
      <w:r w:rsidR="009D00A9">
        <w:t>report</w:t>
      </w:r>
      <w:r>
        <w:t xml:space="preserve"> on the </w:t>
      </w:r>
      <w:r w:rsidR="00336A39">
        <w:t>Pritchard and O’Brien</w:t>
      </w:r>
      <w:r>
        <w:t xml:space="preserve"> Project.  Negotiations continue with DLR </w:t>
      </w:r>
      <w:proofErr w:type="gramStart"/>
      <w:r>
        <w:t>Group</w:t>
      </w:r>
      <w:proofErr w:type="gramEnd"/>
      <w:r>
        <w:t xml:space="preserve"> and we are on track for a September kickoff for Program Validation. After interviews with three firms, the team chose </w:t>
      </w:r>
      <w:proofErr w:type="spellStart"/>
      <w:r>
        <w:t>BNBuilders</w:t>
      </w:r>
      <w:proofErr w:type="spellEnd"/>
      <w:r>
        <w:t xml:space="preserve"> out of Seattle as the GC/CM for this project.</w:t>
      </w:r>
    </w:p>
    <w:p w14:paraId="64A72FAF" w14:textId="3EBD9B3D" w:rsidR="00C64D5D" w:rsidRDefault="00C64D5D" w:rsidP="00B67241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Christine Traber and Ruth Baleiko from Miller Hull provided a progress report on the Newhouse Replacement Project</w:t>
      </w:r>
      <w:r w:rsidR="009D00A9">
        <w:t xml:space="preserve"> which included updated floorplans</w:t>
      </w:r>
      <w:r w:rsidR="000D185F">
        <w:t xml:space="preserve"> and new architect</w:t>
      </w:r>
      <w:r w:rsidR="0074418F">
        <w:t>ural</w:t>
      </w:r>
      <w:r w:rsidR="000D185F">
        <w:t xml:space="preserve"> renderings of the outside of the building.</w:t>
      </w:r>
    </w:p>
    <w:p w14:paraId="5235AA04" w14:textId="40AE2917" w:rsidR="00336A39" w:rsidRDefault="009D00A9" w:rsidP="00B67241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 xml:space="preserve">Landscape Architect Mark </w:t>
      </w:r>
      <w:proofErr w:type="spellStart"/>
      <w:r>
        <w:t>Tilbe</w:t>
      </w:r>
      <w:proofErr w:type="spellEnd"/>
      <w:r>
        <w:t xml:space="preserve"> with </w:t>
      </w:r>
      <w:proofErr w:type="spellStart"/>
      <w:r>
        <w:t>Murase</w:t>
      </w:r>
      <w:proofErr w:type="spellEnd"/>
      <w:r>
        <w:t xml:space="preserve"> gave an in</w:t>
      </w:r>
      <w:r w:rsidR="000D185F">
        <w:t>-</w:t>
      </w:r>
      <w:r>
        <w:t xml:space="preserve">depth overview of current landscape plans and the team’s continued efforts to </w:t>
      </w:r>
      <w:r w:rsidR="000D185F">
        <w:t xml:space="preserve">incorporate stakeholder feedback and </w:t>
      </w:r>
      <w:r>
        <w:t>tie into the Olmstead plan.</w:t>
      </w:r>
    </w:p>
    <w:p w14:paraId="6CC714CE" w14:textId="03115C8D" w:rsidR="00B92E9C" w:rsidRDefault="000D185F" w:rsidP="007130D3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 xml:space="preserve">Both Clarissa and DES parking manager Michael Petty shared updates on the impact of LCM on campus parking. </w:t>
      </w:r>
    </w:p>
    <w:p w14:paraId="1A2AED30" w14:textId="0C830F07" w:rsidR="001A00EB" w:rsidRDefault="00C7770A" w:rsidP="00235B40">
      <w:pPr>
        <w:tabs>
          <w:tab w:val="left" w:pos="840"/>
          <w:tab w:val="left" w:pos="841"/>
        </w:tabs>
      </w:pPr>
      <w:r>
        <w:tab/>
      </w:r>
    </w:p>
    <w:p w14:paraId="24F2C7C6" w14:textId="77777777" w:rsidR="007E441E" w:rsidRDefault="007E441E" w:rsidP="00235B40">
      <w:pPr>
        <w:tabs>
          <w:tab w:val="left" w:pos="840"/>
          <w:tab w:val="left" w:pos="841"/>
        </w:tabs>
      </w:pPr>
    </w:p>
    <w:p w14:paraId="1CAE0921" w14:textId="2D46BE84" w:rsidR="00A655B6" w:rsidRDefault="00757315" w:rsidP="009B1A07">
      <w:pPr>
        <w:tabs>
          <w:tab w:val="left" w:pos="840"/>
          <w:tab w:val="left" w:pos="841"/>
        </w:tabs>
      </w:pPr>
      <w:r>
        <w:t>View</w:t>
      </w:r>
      <w:r w:rsidR="00235B40">
        <w:t xml:space="preserve"> the</w:t>
      </w:r>
      <w:r>
        <w:t xml:space="preserve"> </w:t>
      </w:r>
      <w:r w:rsidR="0041144C" w:rsidRPr="007E441E">
        <w:t>meeting presentation here</w:t>
      </w:r>
      <w:r w:rsidR="007E441E">
        <w:t xml:space="preserve"> [LINK]</w:t>
      </w:r>
      <w:r>
        <w:t>.</w:t>
      </w:r>
      <w:bookmarkStart w:id="0" w:name="DES_asked_historic_preservation_organiza"/>
      <w:bookmarkEnd w:id="0"/>
    </w:p>
    <w:p w14:paraId="179D0809" w14:textId="77777777" w:rsidR="009B1A07" w:rsidRDefault="009B1A07" w:rsidP="009B1A07">
      <w:pPr>
        <w:tabs>
          <w:tab w:val="left" w:pos="840"/>
          <w:tab w:val="left" w:pos="841"/>
        </w:tabs>
      </w:pPr>
    </w:p>
    <w:p w14:paraId="0237933C" w14:textId="0F6B266E" w:rsidR="00D00920" w:rsidRDefault="009940AF" w:rsidP="00235B40">
      <w:pPr>
        <w:pStyle w:val="Heading1"/>
        <w:spacing w:after="240" w:line="237" w:lineRule="auto"/>
        <w:ind w:left="0" w:right="510"/>
      </w:pPr>
      <w:r>
        <w:t xml:space="preserve">DES asked </w:t>
      </w:r>
      <w:r w:rsidR="00C63EA5">
        <w:t xml:space="preserve">stakeholders to provide any initial thoughts, </w:t>
      </w:r>
      <w:proofErr w:type="gramStart"/>
      <w:r w:rsidR="00C63EA5">
        <w:t>concerns</w:t>
      </w:r>
      <w:proofErr w:type="gramEnd"/>
      <w:r w:rsidR="00C63EA5">
        <w:t xml:space="preserve"> and idea</w:t>
      </w:r>
      <w:r w:rsidR="00A77272">
        <w:t>s</w:t>
      </w:r>
      <w:r w:rsidR="00C63EA5">
        <w:t>. The group discussed:</w:t>
      </w:r>
    </w:p>
    <w:p w14:paraId="5B9F682F" w14:textId="27BDBE6B" w:rsidR="00B92E9C" w:rsidRDefault="000D185F" w:rsidP="00B92E9C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Stakeholders thanked</w:t>
      </w:r>
      <w:r w:rsidR="00210163">
        <w:t xml:space="preserve"> the parking team and their attention to some longstanding parking issues</w:t>
      </w:r>
      <w:r w:rsidR="002164CD">
        <w:t xml:space="preserve"> but did ask for more information on how cars will get into the parking lot for Pritchard after the project is complete. </w:t>
      </w:r>
      <w:r w:rsidR="00FD21B8">
        <w:t xml:space="preserve">Stakeholders also shared </w:t>
      </w:r>
      <w:r w:rsidR="002164CD">
        <w:t>concerns regarding parking on the south side of Newhouse</w:t>
      </w:r>
      <w:r w:rsidR="002175B5">
        <w:t xml:space="preserve"> </w:t>
      </w:r>
      <w:r w:rsidR="00FD21B8">
        <w:t xml:space="preserve">and </w:t>
      </w:r>
      <w:r w:rsidR="002164CD">
        <w:t>would like more information on this.</w:t>
      </w:r>
    </w:p>
    <w:p w14:paraId="2582F057" w14:textId="4090B14B" w:rsidR="000D185F" w:rsidRDefault="000D185F" w:rsidP="00B92E9C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Stakeholders asked for an update on the Press House</w:t>
      </w:r>
      <w:r w:rsidR="002175B5">
        <w:t xml:space="preserve"> structures</w:t>
      </w:r>
      <w:r>
        <w:t>.  At this time</w:t>
      </w:r>
      <w:r w:rsidR="0074418F">
        <w:t>,</w:t>
      </w:r>
      <w:r>
        <w:t xml:space="preserve"> we know that both houses cannot be relocated.  It is just too expensive. The LCM team will be sharing more information </w:t>
      </w:r>
      <w:r w:rsidR="00FD21B8">
        <w:t xml:space="preserve">on the </w:t>
      </w:r>
      <w:r>
        <w:t xml:space="preserve">Press Houses in the coming weeks as plans are solidified. </w:t>
      </w:r>
    </w:p>
    <w:p w14:paraId="70C9875F" w14:textId="243D32AE" w:rsidR="00210163" w:rsidRDefault="000D185F" w:rsidP="002164CD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 xml:space="preserve">There were several questions regarding the closing of Water Street.  In the Non-Project SEPA </w:t>
      </w:r>
      <w:r w:rsidR="0074418F">
        <w:t>checklist</w:t>
      </w:r>
      <w:r>
        <w:t>, it references the temporary closure of Water Street, but in other documents it says this will be permanent.  Stakeholders asked for clarification</w:t>
      </w:r>
      <w:r w:rsidR="002164CD">
        <w:t>.</w:t>
      </w:r>
      <w:r w:rsidR="00210163">
        <w:t xml:space="preserve"> </w:t>
      </w:r>
      <w:r>
        <w:t>Bill Frare shared that the plan is to eventually close Water Street permanently, but we do not have a timeline on this yet and it will be after the completion of the Pritchard and O’Brien renovations.</w:t>
      </w:r>
    </w:p>
    <w:p w14:paraId="162288C8" w14:textId="3F008E4B" w:rsidR="00E17D98" w:rsidRDefault="002164CD" w:rsidP="0074418F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Stakeholders were v</w:t>
      </w:r>
      <w:r w:rsidR="00210163">
        <w:t xml:space="preserve">ery encouraged to see the progress on the design of the outside of the building. </w:t>
      </w:r>
    </w:p>
    <w:p w14:paraId="0EA4DE22" w14:textId="416F0A5F" w:rsidR="00692DF7" w:rsidRDefault="002164CD" w:rsidP="00E17D98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>The stakeholders are looking forward to learning more about the Landscape Review Panel and are hoping for an opportunity to meet with them. The team is looking</w:t>
      </w:r>
      <w:r w:rsidR="00692DF7">
        <w:t xml:space="preserve"> at future dates for the Panel to meet with Stakeholders.  </w:t>
      </w:r>
      <w:r>
        <w:t xml:space="preserve">Clarissa </w:t>
      </w:r>
      <w:r w:rsidR="00FD21B8">
        <w:t xml:space="preserve">also </w:t>
      </w:r>
      <w:r>
        <w:t>extend</w:t>
      </w:r>
      <w:r w:rsidR="00FD21B8">
        <w:t>ed</w:t>
      </w:r>
      <w:r>
        <w:t xml:space="preserve"> an invitation for</w:t>
      </w:r>
      <w:r w:rsidR="00692DF7">
        <w:t xml:space="preserve"> Anne Knight to be on the Peer Review Panel</w:t>
      </w:r>
      <w:r>
        <w:t>, which she accepted.</w:t>
      </w:r>
    </w:p>
    <w:p w14:paraId="5964AEEA" w14:textId="6F63AC21" w:rsidR="00C451B0" w:rsidRDefault="00692DF7" w:rsidP="00E17D98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lastRenderedPageBreak/>
        <w:t xml:space="preserve">SEPA checklist – </w:t>
      </w:r>
      <w:r w:rsidR="002164CD">
        <w:t>Several individuals had questions around the SEPA process. Specifically</w:t>
      </w:r>
      <w:r w:rsidR="0074418F">
        <w:t>,</w:t>
      </w:r>
      <w:r w:rsidR="002164CD">
        <w:t xml:space="preserve"> what is</w:t>
      </w:r>
      <w:r w:rsidR="00C451B0">
        <w:t>,</w:t>
      </w:r>
      <w:r w:rsidR="002164CD">
        <w:t xml:space="preserve"> and is not included in th</w:t>
      </w:r>
      <w:r w:rsidR="00C451B0">
        <w:t xml:space="preserve">e </w:t>
      </w:r>
      <w:proofErr w:type="gramStart"/>
      <w:r w:rsidR="00C451B0">
        <w:t>Non-Project SEPA</w:t>
      </w:r>
      <w:proofErr w:type="gramEnd"/>
      <w:r w:rsidR="00C451B0">
        <w:t xml:space="preserve"> checklist and what is meant by the term “Global</w:t>
      </w:r>
      <w:r w:rsidR="00FD21B8">
        <w:t>.</w:t>
      </w:r>
      <w:r w:rsidR="00C451B0">
        <w:t xml:space="preserve">” </w:t>
      </w:r>
      <w:r>
        <w:t xml:space="preserve">Global means the entire LCM project.  Non-Project </w:t>
      </w:r>
      <w:r w:rsidR="002164CD">
        <w:t>addresses</w:t>
      </w:r>
      <w:r>
        <w:t xml:space="preserve"> the </w:t>
      </w:r>
      <w:r w:rsidR="00FD21B8">
        <w:t xml:space="preserve">cumulative </w:t>
      </w:r>
      <w:r w:rsidR="00C451B0">
        <w:t xml:space="preserve">environmental </w:t>
      </w:r>
      <w:r>
        <w:t>impacts</w:t>
      </w:r>
      <w:r w:rsidR="0074418F">
        <w:t>, and</w:t>
      </w:r>
      <w:r w:rsidR="002164CD">
        <w:t xml:space="preserve"> </w:t>
      </w:r>
      <w:r w:rsidR="00FD21B8">
        <w:t xml:space="preserve">then </w:t>
      </w:r>
      <w:r w:rsidR="00C451B0">
        <w:t>e</w:t>
      </w:r>
      <w:r>
        <w:t xml:space="preserve">ach project </w:t>
      </w:r>
      <w:r w:rsidR="00C451B0">
        <w:t xml:space="preserve">specific </w:t>
      </w:r>
      <w:r>
        <w:t xml:space="preserve">SEPA </w:t>
      </w:r>
      <w:r w:rsidR="00C451B0">
        <w:t xml:space="preserve">checklist </w:t>
      </w:r>
      <w:r w:rsidR="00FD21B8">
        <w:t xml:space="preserve">focuses on </w:t>
      </w:r>
      <w:r>
        <w:t xml:space="preserve">the contracts associated with those </w:t>
      </w:r>
      <w:r w:rsidR="0074418F">
        <w:t>s</w:t>
      </w:r>
      <w:r w:rsidR="00C451B0">
        <w:t xml:space="preserve">pecific </w:t>
      </w:r>
      <w:r>
        <w:t xml:space="preserve">projects. </w:t>
      </w:r>
    </w:p>
    <w:p w14:paraId="39A8DD1B" w14:textId="3D763D34" w:rsidR="003F58A3" w:rsidRDefault="00C451B0" w:rsidP="003F58A3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</w:pPr>
      <w:r>
        <w:t xml:space="preserve">Questions were asked regarding what will be on each floor of Newhouse.  The team from Miller Hull shared detailed floor plans that outline what will be included on each floor. </w:t>
      </w:r>
    </w:p>
    <w:p w14:paraId="05B63CC0" w14:textId="2E74D81A" w:rsidR="008D74A5" w:rsidRDefault="008D74A5" w:rsidP="00DA149F"/>
    <w:p w14:paraId="5C23BB02" w14:textId="77777777" w:rsidR="007E441E" w:rsidRDefault="007E441E" w:rsidP="007E441E"/>
    <w:p w14:paraId="4DC0B8CF" w14:textId="420D71B8" w:rsidR="005D49FB" w:rsidRDefault="005D49FB" w:rsidP="00A77272">
      <w:pPr>
        <w:pStyle w:val="Heading1"/>
        <w:ind w:left="0"/>
      </w:pPr>
      <w:r>
        <w:t>Useful links</w:t>
      </w:r>
      <w:r w:rsidR="00235B40">
        <w:t xml:space="preserve"> for additional information </w:t>
      </w:r>
    </w:p>
    <w:p w14:paraId="757EB217" w14:textId="4BEB78AC" w:rsidR="005D49FB" w:rsidRDefault="002776EA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8" w:history="1">
        <w:r w:rsidR="005D49FB" w:rsidRPr="005D49FB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Legislative Campus Modernization</w:t>
        </w:r>
      </w:hyperlink>
      <w:r w:rsidR="005D49FB" w:rsidRPr="005D49F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webpage</w:t>
      </w:r>
    </w:p>
    <w:p w14:paraId="23814BF5" w14:textId="11357193" w:rsidR="00B76FF0" w:rsidRDefault="002776EA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9" w:history="1">
        <w:r w:rsidR="00B76FF0" w:rsidRPr="00B76FF0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LCM public meetings</w:t>
        </w:r>
      </w:hyperlink>
      <w:r w:rsidR="00B76FF0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webpage</w:t>
      </w:r>
    </w:p>
    <w:p w14:paraId="23D25BC4" w14:textId="33594C81" w:rsidR="00A77272" w:rsidRPr="005D49FB" w:rsidRDefault="002776EA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10" w:history="1">
        <w:r w:rsidR="00A77272" w:rsidRPr="00A77272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Irving R. Newhouse</w:t>
        </w:r>
      </w:hyperlink>
      <w:r w:rsidR="00A7727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webpage</w:t>
      </w:r>
    </w:p>
    <w:p w14:paraId="188314D8" w14:textId="32090749" w:rsidR="005D49FB" w:rsidRDefault="002776EA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11" w:history="1">
        <w:r w:rsidR="005D49FB" w:rsidRPr="005D49FB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Joel M. Pritchard Library</w:t>
        </w:r>
      </w:hyperlink>
      <w:r w:rsidR="005D49F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5D49FB" w:rsidRPr="005D49FB">
        <w:rPr>
          <w:rFonts w:ascii="Calibri" w:eastAsia="Calibri" w:hAnsi="Calibri" w:cs="Calibri"/>
          <w:b w:val="0"/>
          <w:bCs w:val="0"/>
          <w:sz w:val="22"/>
          <w:szCs w:val="22"/>
        </w:rPr>
        <w:t>webpage</w:t>
      </w:r>
    </w:p>
    <w:p w14:paraId="1F693D9C" w14:textId="246F7465" w:rsidR="00836EE8" w:rsidRDefault="002776EA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12" w:history="1">
        <w:r w:rsidR="00836EE8" w:rsidRPr="00836EE8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LCM SEPA checklist review</w:t>
        </w:r>
      </w:hyperlink>
      <w:r w:rsidR="00836EE8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webpage</w:t>
      </w:r>
    </w:p>
    <w:p w14:paraId="77C358F0" w14:textId="77777777" w:rsidR="005D49FB" w:rsidRDefault="005D49FB" w:rsidP="005D49FB">
      <w:pPr>
        <w:pStyle w:val="Heading1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1C37F16A" w14:textId="77777777" w:rsidR="005D49FB" w:rsidRDefault="005D49FB" w:rsidP="005D49FB">
      <w:pPr>
        <w:pStyle w:val="Heading1"/>
      </w:pPr>
      <w:r>
        <w:t>Contact information</w:t>
      </w:r>
    </w:p>
    <w:p w14:paraId="29353DA9" w14:textId="77777777" w:rsidR="005D49FB" w:rsidRPr="005D49FB" w:rsidRDefault="005D49FB" w:rsidP="005D49FB">
      <w:pPr>
        <w:pStyle w:val="BodyText"/>
        <w:numPr>
          <w:ilvl w:val="0"/>
          <w:numId w:val="6"/>
        </w:numPr>
      </w:pPr>
      <w:r w:rsidRPr="005D49FB">
        <w:t xml:space="preserve">Please email </w:t>
      </w:r>
      <w:hyperlink r:id="rId13" w:history="1">
        <w:r w:rsidRPr="00510F4C">
          <w:rPr>
            <w:rStyle w:val="Hyperlink"/>
          </w:rPr>
          <w:t>DESLCM@des.wa.gov</w:t>
        </w:r>
      </w:hyperlink>
      <w:r>
        <w:t xml:space="preserve"> </w:t>
      </w:r>
      <w:r w:rsidRPr="005D49FB">
        <w:t>with any questions or comments</w:t>
      </w:r>
    </w:p>
    <w:p w14:paraId="7A8B412D" w14:textId="77777777" w:rsidR="005D49FB" w:rsidRPr="005D49FB" w:rsidRDefault="005D49FB" w:rsidP="005D49FB">
      <w:pPr>
        <w:pStyle w:val="Heading1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4B5051CF" w14:textId="77777777" w:rsidR="005D49FB" w:rsidRDefault="005D49FB" w:rsidP="005D49FB">
      <w:pPr>
        <w:pStyle w:val="Heading1"/>
        <w:ind w:left="479"/>
      </w:pPr>
    </w:p>
    <w:sectPr w:rsidR="005D49FB" w:rsidSect="008769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F10A" w14:textId="77777777" w:rsidR="005C375A" w:rsidRDefault="005C375A" w:rsidP="005C375A">
      <w:r>
        <w:separator/>
      </w:r>
    </w:p>
  </w:endnote>
  <w:endnote w:type="continuationSeparator" w:id="0">
    <w:p w14:paraId="628C9C1F" w14:textId="77777777" w:rsidR="005C375A" w:rsidRDefault="005C375A" w:rsidP="005C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E0C" w14:textId="77777777" w:rsidR="005C375A" w:rsidRDefault="005C3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F9FF" w14:textId="77777777" w:rsidR="005C375A" w:rsidRDefault="005C37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AD6E" w14:textId="77777777" w:rsidR="005C375A" w:rsidRDefault="005C3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9872" w14:textId="77777777" w:rsidR="005C375A" w:rsidRDefault="005C375A" w:rsidP="005C375A">
      <w:r>
        <w:separator/>
      </w:r>
    </w:p>
  </w:footnote>
  <w:footnote w:type="continuationSeparator" w:id="0">
    <w:p w14:paraId="3191CCB3" w14:textId="77777777" w:rsidR="005C375A" w:rsidRDefault="005C375A" w:rsidP="005C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C827" w14:textId="77777777" w:rsidR="005C375A" w:rsidRDefault="005C3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3901" w14:textId="24B0FD5D" w:rsidR="005C375A" w:rsidRDefault="005C3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3B4A" w14:textId="77777777" w:rsidR="005C375A" w:rsidRDefault="005C3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5BE30"/>
    <w:multiLevelType w:val="hybridMultilevel"/>
    <w:tmpl w:val="8E0CB5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1FD3"/>
    <w:multiLevelType w:val="hybridMultilevel"/>
    <w:tmpl w:val="1C3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227D"/>
    <w:multiLevelType w:val="hybridMultilevel"/>
    <w:tmpl w:val="8732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FC"/>
    <w:multiLevelType w:val="hybridMultilevel"/>
    <w:tmpl w:val="69A4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18D2"/>
    <w:multiLevelType w:val="hybridMultilevel"/>
    <w:tmpl w:val="E176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6A3"/>
    <w:multiLevelType w:val="hybridMultilevel"/>
    <w:tmpl w:val="F12A9B1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 w15:restartNumberingAfterBreak="0">
    <w:nsid w:val="1CC55F51"/>
    <w:multiLevelType w:val="hybridMultilevel"/>
    <w:tmpl w:val="E1B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6C5F"/>
    <w:multiLevelType w:val="hybridMultilevel"/>
    <w:tmpl w:val="A8EA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251"/>
    <w:multiLevelType w:val="hybridMultilevel"/>
    <w:tmpl w:val="C0D2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5A98"/>
    <w:multiLevelType w:val="hybridMultilevel"/>
    <w:tmpl w:val="757E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065"/>
    <w:multiLevelType w:val="hybridMultilevel"/>
    <w:tmpl w:val="90FA55A4"/>
    <w:lvl w:ilvl="0" w:tplc="0E6E08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B29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A71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21E69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88C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FA9B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0235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F700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AB0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42C54D80"/>
    <w:multiLevelType w:val="hybridMultilevel"/>
    <w:tmpl w:val="BF72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0F0A"/>
    <w:multiLevelType w:val="hybridMultilevel"/>
    <w:tmpl w:val="620A75A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1167ABA"/>
    <w:multiLevelType w:val="hybridMultilevel"/>
    <w:tmpl w:val="2550C5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67DE0A7D"/>
    <w:multiLevelType w:val="hybridMultilevel"/>
    <w:tmpl w:val="BFF24E10"/>
    <w:lvl w:ilvl="0" w:tplc="DD40A2A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14" w:hanging="361"/>
      </w:pPr>
      <w:rPr>
        <w:rFonts w:ascii="Courier New" w:hAnsi="Courier New" w:cs="Courier New" w:hint="default"/>
        <w:lang w:val="en-US" w:eastAsia="en-US" w:bidi="ar-SA"/>
      </w:rPr>
    </w:lvl>
    <w:lvl w:ilvl="2" w:tplc="B7560AE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4684C938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0D445B1E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2102B0DA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471C7D74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35C647E6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ADA8B4DA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C6125E6"/>
    <w:multiLevelType w:val="hybridMultilevel"/>
    <w:tmpl w:val="66F8CBF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730A25ED"/>
    <w:multiLevelType w:val="hybridMultilevel"/>
    <w:tmpl w:val="37CCE57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77A82AEB"/>
    <w:multiLevelType w:val="hybridMultilevel"/>
    <w:tmpl w:val="85E2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3"/>
  </w:num>
  <w:num w:numId="15">
    <w:abstractNumId w:val="17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20"/>
    <w:rsid w:val="0003326A"/>
    <w:rsid w:val="00040313"/>
    <w:rsid w:val="00040F0B"/>
    <w:rsid w:val="00055AB1"/>
    <w:rsid w:val="00067162"/>
    <w:rsid w:val="000773AD"/>
    <w:rsid w:val="000774FB"/>
    <w:rsid w:val="000928D9"/>
    <w:rsid w:val="000A5C3A"/>
    <w:rsid w:val="000B1CFA"/>
    <w:rsid w:val="000B7763"/>
    <w:rsid w:val="000D0C62"/>
    <w:rsid w:val="000D185F"/>
    <w:rsid w:val="00112269"/>
    <w:rsid w:val="00135BF0"/>
    <w:rsid w:val="00135F7B"/>
    <w:rsid w:val="00187B78"/>
    <w:rsid w:val="00190B4A"/>
    <w:rsid w:val="001962C0"/>
    <w:rsid w:val="001A00EB"/>
    <w:rsid w:val="001A5D43"/>
    <w:rsid w:val="001B500A"/>
    <w:rsid w:val="001B69C2"/>
    <w:rsid w:val="001E33E0"/>
    <w:rsid w:val="001E5116"/>
    <w:rsid w:val="00210163"/>
    <w:rsid w:val="002164CD"/>
    <w:rsid w:val="002175B5"/>
    <w:rsid w:val="00217ADF"/>
    <w:rsid w:val="00235B40"/>
    <w:rsid w:val="0025218C"/>
    <w:rsid w:val="00267B3F"/>
    <w:rsid w:val="002776EA"/>
    <w:rsid w:val="00280C3E"/>
    <w:rsid w:val="00281FE4"/>
    <w:rsid w:val="002A2DE3"/>
    <w:rsid w:val="002E6587"/>
    <w:rsid w:val="002F51F9"/>
    <w:rsid w:val="003014C0"/>
    <w:rsid w:val="00315B1F"/>
    <w:rsid w:val="00336A39"/>
    <w:rsid w:val="00341C97"/>
    <w:rsid w:val="003605AE"/>
    <w:rsid w:val="003757E1"/>
    <w:rsid w:val="003836F2"/>
    <w:rsid w:val="003847CC"/>
    <w:rsid w:val="003C1FA5"/>
    <w:rsid w:val="003C57B9"/>
    <w:rsid w:val="003F193D"/>
    <w:rsid w:val="003F58A3"/>
    <w:rsid w:val="00403126"/>
    <w:rsid w:val="0041144C"/>
    <w:rsid w:val="00437538"/>
    <w:rsid w:val="00444894"/>
    <w:rsid w:val="00457E7B"/>
    <w:rsid w:val="00460F62"/>
    <w:rsid w:val="00463D67"/>
    <w:rsid w:val="00471E10"/>
    <w:rsid w:val="004A7854"/>
    <w:rsid w:val="004D1154"/>
    <w:rsid w:val="004D4656"/>
    <w:rsid w:val="004F0617"/>
    <w:rsid w:val="00543CA6"/>
    <w:rsid w:val="00585C90"/>
    <w:rsid w:val="005B338D"/>
    <w:rsid w:val="005C2500"/>
    <w:rsid w:val="005C375A"/>
    <w:rsid w:val="005D4278"/>
    <w:rsid w:val="005D49FB"/>
    <w:rsid w:val="005F3981"/>
    <w:rsid w:val="006029DA"/>
    <w:rsid w:val="00612C20"/>
    <w:rsid w:val="00656BC8"/>
    <w:rsid w:val="006720AC"/>
    <w:rsid w:val="00692DF7"/>
    <w:rsid w:val="006A1036"/>
    <w:rsid w:val="006B1210"/>
    <w:rsid w:val="006C63A7"/>
    <w:rsid w:val="00700A55"/>
    <w:rsid w:val="007057C1"/>
    <w:rsid w:val="007130D3"/>
    <w:rsid w:val="00713308"/>
    <w:rsid w:val="00713E56"/>
    <w:rsid w:val="00724F16"/>
    <w:rsid w:val="0073384C"/>
    <w:rsid w:val="0074418F"/>
    <w:rsid w:val="007517B4"/>
    <w:rsid w:val="00757315"/>
    <w:rsid w:val="007634A0"/>
    <w:rsid w:val="00783204"/>
    <w:rsid w:val="00786A39"/>
    <w:rsid w:val="0079327F"/>
    <w:rsid w:val="007D1FF3"/>
    <w:rsid w:val="007E3AF5"/>
    <w:rsid w:val="007E441E"/>
    <w:rsid w:val="00807350"/>
    <w:rsid w:val="00836EE8"/>
    <w:rsid w:val="008564D5"/>
    <w:rsid w:val="008769CB"/>
    <w:rsid w:val="008D74A5"/>
    <w:rsid w:val="008E5CC6"/>
    <w:rsid w:val="008F6A9C"/>
    <w:rsid w:val="009351E0"/>
    <w:rsid w:val="009840A4"/>
    <w:rsid w:val="009940AF"/>
    <w:rsid w:val="009A05D8"/>
    <w:rsid w:val="009B1A07"/>
    <w:rsid w:val="009C0FDA"/>
    <w:rsid w:val="009D00A9"/>
    <w:rsid w:val="009E0F05"/>
    <w:rsid w:val="009F5730"/>
    <w:rsid w:val="00A022B8"/>
    <w:rsid w:val="00A34E3E"/>
    <w:rsid w:val="00A374A1"/>
    <w:rsid w:val="00A62F33"/>
    <w:rsid w:val="00A655B6"/>
    <w:rsid w:val="00A77272"/>
    <w:rsid w:val="00A922AA"/>
    <w:rsid w:val="00AA0FA8"/>
    <w:rsid w:val="00AC026C"/>
    <w:rsid w:val="00B46CAF"/>
    <w:rsid w:val="00B63F68"/>
    <w:rsid w:val="00B67241"/>
    <w:rsid w:val="00B74E70"/>
    <w:rsid w:val="00B76FF0"/>
    <w:rsid w:val="00B92E9C"/>
    <w:rsid w:val="00B972EC"/>
    <w:rsid w:val="00BB7192"/>
    <w:rsid w:val="00BC2E1A"/>
    <w:rsid w:val="00BC3314"/>
    <w:rsid w:val="00BF2443"/>
    <w:rsid w:val="00C319C0"/>
    <w:rsid w:val="00C36F8E"/>
    <w:rsid w:val="00C451B0"/>
    <w:rsid w:val="00C57899"/>
    <w:rsid w:val="00C63EA5"/>
    <w:rsid w:val="00C64D5D"/>
    <w:rsid w:val="00C70954"/>
    <w:rsid w:val="00C7770A"/>
    <w:rsid w:val="00CA3D2A"/>
    <w:rsid w:val="00CA5E75"/>
    <w:rsid w:val="00CD26E5"/>
    <w:rsid w:val="00D00920"/>
    <w:rsid w:val="00D20403"/>
    <w:rsid w:val="00D649D5"/>
    <w:rsid w:val="00D70284"/>
    <w:rsid w:val="00D82C15"/>
    <w:rsid w:val="00DA149F"/>
    <w:rsid w:val="00DC1D1F"/>
    <w:rsid w:val="00DF44F9"/>
    <w:rsid w:val="00E17D98"/>
    <w:rsid w:val="00E216DD"/>
    <w:rsid w:val="00E607F4"/>
    <w:rsid w:val="00E6103E"/>
    <w:rsid w:val="00E86A04"/>
    <w:rsid w:val="00E91194"/>
    <w:rsid w:val="00EE49F4"/>
    <w:rsid w:val="00EF0315"/>
    <w:rsid w:val="00F358D4"/>
    <w:rsid w:val="00F50B59"/>
    <w:rsid w:val="00F557DB"/>
    <w:rsid w:val="00F56F70"/>
    <w:rsid w:val="00F63483"/>
    <w:rsid w:val="00F75D65"/>
    <w:rsid w:val="00F85B40"/>
    <w:rsid w:val="00FA5C21"/>
    <w:rsid w:val="00FD21B8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C316B7"/>
  <w15:docId w15:val="{EE5F3A67-4ECA-42C1-874C-16CCDF56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 w:right="8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40"/>
      <w:ind w:left="3014" w:right="95" w:hanging="2760"/>
    </w:pPr>
    <w:rPr>
      <w:rFonts w:ascii="Arial" w:eastAsia="Arial" w:hAnsi="Arial" w:cs="Arial"/>
      <w:sz w:val="46"/>
      <w:szCs w:val="46"/>
    </w:rPr>
  </w:style>
  <w:style w:type="paragraph" w:styleId="ListParagraph">
    <w:name w:val="List Paragraph"/>
    <w:basedOn w:val="Normal"/>
    <w:uiPriority w:val="34"/>
    <w:qFormat/>
    <w:pPr>
      <w:spacing w:before="17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49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0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0AF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AF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2443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772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327F"/>
    <w:rPr>
      <w:color w:val="800080" w:themeColor="followedHyperlink"/>
      <w:u w:val="single"/>
    </w:rPr>
  </w:style>
  <w:style w:type="paragraph" w:customStyle="1" w:styleId="Default">
    <w:name w:val="Default"/>
    <w:rsid w:val="008564D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3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3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5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667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141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.wa.gov/services/facilities-leasing/capitol-campus/capitol-campus-projects/legislative-campus-modernization/joel-m-pritchard-library-project" TargetMode="External"/><Relationship Id="rId13" Type="http://schemas.openxmlformats.org/officeDocument/2006/relationships/hyperlink" Target="mailto:DESLCM@des.wa.gov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es.wa.gov/services/facilities-leasing/capitol-campus/capitol-campus-projects/legislative-campus-modernization/lcm-sepa-checklist-review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s.wa.gov/services/facilities-leasing/capitol-campus/capitol-campus-projects/legislative-campus-modernization/joel-m-pritchard-library-projec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es.wa.gov/services/facilities-leasing/capitol-campus/capitol-campus-projects/legislative-campus-modernization/irving-r-newhouse-building-replacement-projec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es.wa.gov/services/facilities-leasing/capitol-campus/capitol-campus-projects/legislative-campus-modernization/lcm-public-meeting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Listening Sessions regarding Deschutes Parkway Rulemaking Effort</vt:lpstr>
    </vt:vector>
  </TitlesOfParts>
  <Company>DES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Listening Sessions regarding Deschutes Parkway Rulemaking Effort</dc:title>
  <dc:subject>Historic preservation organization perspective</dc:subject>
  <dc:creator>Abdullah, Muhammad</dc:creator>
  <cp:lastModifiedBy>Streeter, Ginny (DES)</cp:lastModifiedBy>
  <cp:revision>2</cp:revision>
  <cp:lastPrinted>2021-11-10T17:31:00Z</cp:lastPrinted>
  <dcterms:created xsi:type="dcterms:W3CDTF">2022-09-02T16:33:00Z</dcterms:created>
  <dcterms:modified xsi:type="dcterms:W3CDTF">2022-09-02T16:33:00Z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2021-09-08T00:00:00Z</vt:filetime>
  </property>
</Properties>
</file>