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EB802" w14:textId="77777777" w:rsidR="004B1DF0" w:rsidRPr="00A53E6D" w:rsidRDefault="001A01C3" w:rsidP="00024BD3">
      <w:pPr>
        <w:pStyle w:val="BodyText"/>
        <w:jc w:val="both"/>
        <w:rPr>
          <w:rFonts w:cs="Arial"/>
        </w:rPr>
      </w:pPr>
      <w:r w:rsidRPr="00A53E6D">
        <w:rPr>
          <w:rFonts w:cs="Arial"/>
          <w:noProof/>
        </w:rPr>
        <w:drawing>
          <wp:inline distT="0" distB="0" distL="0" distR="0" wp14:anchorId="1FAB4845" wp14:editId="090045BA">
            <wp:extent cx="5996940" cy="1013460"/>
            <wp:effectExtent l="0" t="0" r="3810" b="0"/>
            <wp:docPr id="6" name="Picture 1" descr="Washington State Department of Enterprise Services logo&#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940" cy="1013460"/>
                    </a:xfrm>
                    <a:prstGeom prst="rect">
                      <a:avLst/>
                    </a:prstGeom>
                    <a:noFill/>
                    <a:ln>
                      <a:noFill/>
                    </a:ln>
                  </pic:spPr>
                </pic:pic>
              </a:graphicData>
            </a:graphic>
          </wp:inline>
        </w:drawing>
      </w:r>
    </w:p>
    <w:p w14:paraId="26C5DD86" w14:textId="77777777" w:rsidR="004B1DF0" w:rsidRPr="00A53E6D" w:rsidRDefault="004B1DF0" w:rsidP="00024BD3">
      <w:pPr>
        <w:pStyle w:val="BodyText"/>
        <w:jc w:val="both"/>
        <w:rPr>
          <w:rFonts w:cs="Arial"/>
        </w:rPr>
      </w:pPr>
    </w:p>
    <w:p w14:paraId="0FD02B62" w14:textId="77777777" w:rsidR="004B1DF0" w:rsidRPr="00A53E6D" w:rsidRDefault="004B1DF0" w:rsidP="00F054A3">
      <w:pPr>
        <w:pStyle w:val="BodyText"/>
        <w:spacing w:before="2160"/>
        <w:rPr>
          <w:rFonts w:cs="Arial"/>
          <w:b/>
          <w:sz w:val="72"/>
          <w:szCs w:val="72"/>
        </w:rPr>
      </w:pPr>
      <w:r w:rsidRPr="00A53E6D">
        <w:rPr>
          <w:rFonts w:cs="Arial"/>
          <w:b/>
          <w:sz w:val="72"/>
          <w:szCs w:val="72"/>
        </w:rPr>
        <w:t xml:space="preserve">Biodiesel Use </w:t>
      </w:r>
      <w:r w:rsidR="00402065" w:rsidRPr="00A53E6D">
        <w:rPr>
          <w:rFonts w:cs="Arial"/>
          <w:b/>
          <w:sz w:val="72"/>
          <w:szCs w:val="72"/>
        </w:rPr>
        <w:br/>
      </w:r>
      <w:r w:rsidRPr="00A53E6D">
        <w:rPr>
          <w:rFonts w:cs="Arial"/>
          <w:b/>
          <w:sz w:val="72"/>
          <w:szCs w:val="72"/>
        </w:rPr>
        <w:t xml:space="preserve">by Washington State </w:t>
      </w:r>
      <w:r w:rsidR="001E4336" w:rsidRPr="00A53E6D">
        <w:rPr>
          <w:rFonts w:cs="Arial"/>
          <w:b/>
          <w:sz w:val="72"/>
          <w:szCs w:val="72"/>
        </w:rPr>
        <w:t>A</w:t>
      </w:r>
      <w:r w:rsidRPr="00A53E6D">
        <w:rPr>
          <w:rFonts w:cs="Arial"/>
          <w:b/>
          <w:sz w:val="72"/>
          <w:szCs w:val="72"/>
        </w:rPr>
        <w:t>gencies</w:t>
      </w:r>
    </w:p>
    <w:p w14:paraId="401D0FF0" w14:textId="77777777" w:rsidR="00402065" w:rsidRPr="00A53E6D" w:rsidRDefault="00402065" w:rsidP="00024BD3">
      <w:pPr>
        <w:pStyle w:val="BodyText"/>
        <w:jc w:val="both"/>
        <w:rPr>
          <w:rFonts w:cs="Arial"/>
          <w:sz w:val="36"/>
          <w:szCs w:val="36"/>
        </w:rPr>
      </w:pPr>
    </w:p>
    <w:p w14:paraId="35F95303" w14:textId="77777777" w:rsidR="004B1DF0" w:rsidRPr="00A53E6D" w:rsidRDefault="00955B40" w:rsidP="00024BD3">
      <w:pPr>
        <w:pStyle w:val="BodyText"/>
        <w:jc w:val="both"/>
        <w:rPr>
          <w:rFonts w:cs="Arial"/>
          <w:sz w:val="36"/>
          <w:szCs w:val="36"/>
        </w:rPr>
      </w:pPr>
      <w:r w:rsidRPr="00A53E6D">
        <w:rPr>
          <w:rFonts w:cs="Arial"/>
          <w:sz w:val="36"/>
          <w:szCs w:val="36"/>
        </w:rPr>
        <w:t>January</w:t>
      </w:r>
      <w:r w:rsidR="00880D33" w:rsidRPr="00A53E6D">
        <w:rPr>
          <w:rFonts w:cs="Arial"/>
          <w:sz w:val="36"/>
          <w:szCs w:val="36"/>
        </w:rPr>
        <w:t xml:space="preserve"> through </w:t>
      </w:r>
      <w:r w:rsidR="005624B8" w:rsidRPr="00A53E6D">
        <w:rPr>
          <w:rFonts w:cs="Arial"/>
          <w:sz w:val="36"/>
          <w:szCs w:val="36"/>
        </w:rPr>
        <w:t>December</w:t>
      </w:r>
      <w:r w:rsidR="00880D33" w:rsidRPr="00A53E6D">
        <w:rPr>
          <w:rFonts w:cs="Arial"/>
          <w:sz w:val="36"/>
          <w:szCs w:val="36"/>
        </w:rPr>
        <w:t xml:space="preserve"> </w:t>
      </w:r>
      <w:r w:rsidR="00D16E72" w:rsidRPr="00A53E6D">
        <w:rPr>
          <w:rFonts w:cs="Arial"/>
          <w:sz w:val="36"/>
          <w:szCs w:val="36"/>
        </w:rPr>
        <w:t>20</w:t>
      </w:r>
      <w:r w:rsidR="00D16E72">
        <w:rPr>
          <w:rFonts w:cs="Arial"/>
          <w:sz w:val="36"/>
          <w:szCs w:val="36"/>
        </w:rPr>
        <w:t>20</w:t>
      </w:r>
    </w:p>
    <w:p w14:paraId="38F2785A" w14:textId="77777777" w:rsidR="00402065" w:rsidRPr="00A53E6D" w:rsidRDefault="00402065" w:rsidP="00024BD3">
      <w:pPr>
        <w:pStyle w:val="BodyText"/>
        <w:jc w:val="both"/>
        <w:rPr>
          <w:rFonts w:cs="Arial"/>
          <w:i/>
        </w:rPr>
      </w:pPr>
    </w:p>
    <w:p w14:paraId="48FFDB81" w14:textId="1CE20E40" w:rsidR="004B1DF0" w:rsidRPr="00A53E6D" w:rsidRDefault="004B1DF0" w:rsidP="00024BD3">
      <w:pPr>
        <w:pStyle w:val="BodyText"/>
        <w:jc w:val="both"/>
        <w:rPr>
          <w:rFonts w:cs="Arial"/>
          <w:i/>
        </w:rPr>
      </w:pPr>
      <w:r w:rsidRPr="00A53E6D">
        <w:rPr>
          <w:rFonts w:cs="Arial"/>
          <w:i/>
        </w:rPr>
        <w:t>Published</w:t>
      </w:r>
      <w:r w:rsidRPr="00A53E6D">
        <w:rPr>
          <w:rFonts w:cs="Arial"/>
          <w:i/>
          <w:spacing w:val="-1"/>
        </w:rPr>
        <w:t xml:space="preserve"> </w:t>
      </w:r>
      <w:r w:rsidR="00C04F6D">
        <w:rPr>
          <w:rFonts w:cs="Arial"/>
          <w:i/>
          <w:spacing w:val="-1"/>
        </w:rPr>
        <w:t xml:space="preserve">October </w:t>
      </w:r>
      <w:r w:rsidR="00835A90">
        <w:rPr>
          <w:rFonts w:cs="Arial"/>
          <w:i/>
          <w:spacing w:val="-1"/>
        </w:rPr>
        <w:t>2021</w:t>
      </w:r>
    </w:p>
    <w:p w14:paraId="1A94B04B" w14:textId="77777777" w:rsidR="004B1DF0" w:rsidRPr="00A53E6D" w:rsidRDefault="004B1DF0" w:rsidP="00024BD3">
      <w:pPr>
        <w:pStyle w:val="BodyText"/>
        <w:spacing w:before="2640"/>
        <w:jc w:val="both"/>
        <w:rPr>
          <w:rFonts w:cs="Arial"/>
        </w:rPr>
      </w:pPr>
      <w:r w:rsidRPr="00A53E6D">
        <w:rPr>
          <w:rFonts w:cs="Arial"/>
        </w:rPr>
        <w:t>Contacts:</w:t>
      </w:r>
    </w:p>
    <w:p w14:paraId="553BEB36" w14:textId="003FB84E" w:rsidR="004B1DF0" w:rsidRPr="0051130A" w:rsidRDefault="00EA30D0" w:rsidP="00024BD3">
      <w:pPr>
        <w:pStyle w:val="BodyText"/>
        <w:jc w:val="both"/>
        <w:rPr>
          <w:rFonts w:cs="Arial"/>
          <w:b/>
          <w:bCs/>
        </w:rPr>
      </w:pPr>
      <w:r>
        <w:rPr>
          <w:rFonts w:cs="Arial"/>
          <w:b/>
          <w:bCs/>
        </w:rPr>
        <w:t xml:space="preserve">Tara </w:t>
      </w:r>
      <w:r w:rsidR="008A0813">
        <w:rPr>
          <w:rFonts w:cs="Arial"/>
          <w:b/>
          <w:bCs/>
        </w:rPr>
        <w:t xml:space="preserve">C. </w:t>
      </w:r>
      <w:r>
        <w:rPr>
          <w:rFonts w:cs="Arial"/>
          <w:b/>
          <w:bCs/>
        </w:rPr>
        <w:t>Smith</w:t>
      </w:r>
      <w:r w:rsidR="004B1DF0" w:rsidRPr="00A53E6D">
        <w:rPr>
          <w:rFonts w:cs="Arial"/>
        </w:rPr>
        <w:t>, Director, Department</w:t>
      </w:r>
      <w:r w:rsidR="004B1DF0" w:rsidRPr="00A53E6D">
        <w:rPr>
          <w:rFonts w:cs="Arial"/>
          <w:spacing w:val="1"/>
        </w:rPr>
        <w:t xml:space="preserve"> </w:t>
      </w:r>
      <w:r w:rsidR="004B1DF0" w:rsidRPr="00A53E6D">
        <w:rPr>
          <w:rFonts w:cs="Arial"/>
        </w:rPr>
        <w:t>of Enterprise Services,</w:t>
      </w:r>
      <w:r w:rsidR="004B1DF0" w:rsidRPr="00A53E6D">
        <w:rPr>
          <w:rFonts w:cs="Arial"/>
          <w:spacing w:val="3"/>
        </w:rPr>
        <w:t xml:space="preserve"> </w:t>
      </w:r>
      <w:r w:rsidR="004B1DF0" w:rsidRPr="00A53E6D">
        <w:rPr>
          <w:rFonts w:cs="Arial"/>
        </w:rPr>
        <w:t>(360) 407-</w:t>
      </w:r>
      <w:r w:rsidR="00D27B54">
        <w:rPr>
          <w:rFonts w:cs="Arial"/>
        </w:rPr>
        <w:t>9201</w:t>
      </w:r>
    </w:p>
    <w:p w14:paraId="76BB58C5" w14:textId="77777777" w:rsidR="00446980" w:rsidRDefault="00AA7AD6" w:rsidP="00024BD3">
      <w:pPr>
        <w:pStyle w:val="BodyText"/>
        <w:jc w:val="both"/>
        <w:rPr>
          <w:rFonts w:cs="Arial"/>
          <w:spacing w:val="-2"/>
        </w:rPr>
      </w:pPr>
      <w:r>
        <w:rPr>
          <w:rFonts w:cs="Arial"/>
          <w:b/>
          <w:bCs/>
        </w:rPr>
        <w:t>Jaime Rossman</w:t>
      </w:r>
      <w:r w:rsidR="004B1DF0" w:rsidRPr="00A53E6D">
        <w:rPr>
          <w:rFonts w:cs="Arial"/>
        </w:rPr>
        <w:t>, Assistant</w:t>
      </w:r>
      <w:r w:rsidR="004B1DF0" w:rsidRPr="00A53E6D">
        <w:rPr>
          <w:rFonts w:cs="Arial"/>
          <w:spacing w:val="-2"/>
        </w:rPr>
        <w:t xml:space="preserve"> </w:t>
      </w:r>
      <w:r w:rsidR="004B1DF0" w:rsidRPr="00A53E6D">
        <w:rPr>
          <w:rFonts w:cs="Arial"/>
        </w:rPr>
        <w:t>Director,</w:t>
      </w:r>
      <w:r w:rsidR="004B1DF0" w:rsidRPr="00A53E6D">
        <w:rPr>
          <w:rFonts w:cs="Arial"/>
          <w:spacing w:val="2"/>
        </w:rPr>
        <w:t xml:space="preserve"> </w:t>
      </w:r>
      <w:r w:rsidR="00B01AA2">
        <w:rPr>
          <w:rFonts w:cs="Arial"/>
          <w:spacing w:val="2"/>
        </w:rPr>
        <w:t xml:space="preserve">Contracts &amp; Procurement Division, </w:t>
      </w:r>
      <w:r w:rsidR="004B1DF0" w:rsidRPr="00A53E6D">
        <w:rPr>
          <w:rFonts w:cs="Arial"/>
        </w:rPr>
        <w:t>Department</w:t>
      </w:r>
      <w:r w:rsidR="004B1DF0" w:rsidRPr="00A53E6D">
        <w:rPr>
          <w:rFonts w:cs="Arial"/>
          <w:spacing w:val="1"/>
        </w:rPr>
        <w:t xml:space="preserve"> </w:t>
      </w:r>
      <w:r w:rsidR="004B1DF0" w:rsidRPr="00A53E6D">
        <w:rPr>
          <w:rFonts w:cs="Arial"/>
          <w:spacing w:val="-2"/>
        </w:rPr>
        <w:t>of</w:t>
      </w:r>
      <w:r w:rsidR="004B1DF0" w:rsidRPr="00A53E6D">
        <w:rPr>
          <w:rFonts w:cs="Arial"/>
        </w:rPr>
        <w:t xml:space="preserve"> Enterprise Services,</w:t>
      </w:r>
      <w:r w:rsidR="004B1DF0" w:rsidRPr="00A53E6D">
        <w:rPr>
          <w:rFonts w:cs="Arial"/>
          <w:spacing w:val="3"/>
        </w:rPr>
        <w:t xml:space="preserve"> </w:t>
      </w:r>
      <w:r w:rsidR="004B1DF0" w:rsidRPr="00A53E6D">
        <w:rPr>
          <w:rFonts w:cs="Arial"/>
        </w:rPr>
        <w:t xml:space="preserve">(360) </w:t>
      </w:r>
      <w:r w:rsidR="004B1DF0" w:rsidRPr="00A53E6D">
        <w:rPr>
          <w:rFonts w:cs="Arial"/>
          <w:spacing w:val="-2"/>
        </w:rPr>
        <w:t>407-</w:t>
      </w:r>
      <w:r>
        <w:rPr>
          <w:rFonts w:cs="Arial"/>
          <w:spacing w:val="-2"/>
        </w:rPr>
        <w:t>9329</w:t>
      </w:r>
    </w:p>
    <w:p w14:paraId="0C497BD3" w14:textId="77777777" w:rsidR="00AD6D56" w:rsidRDefault="00292F2C" w:rsidP="00024BD3">
      <w:pPr>
        <w:pStyle w:val="BodyText"/>
        <w:spacing w:before="480"/>
        <w:jc w:val="both"/>
        <w:rPr>
          <w:rFonts w:cs="Arial"/>
        </w:rPr>
        <w:sectPr w:rsidR="00AD6D56" w:rsidSect="0077055C">
          <w:pgSz w:w="12240" w:h="15840"/>
          <w:pgMar w:top="1440" w:right="1440" w:bottom="1152" w:left="1440" w:header="753" w:footer="0" w:gutter="0"/>
          <w:pgNumType w:start="0"/>
          <w:cols w:space="720" w:equalWidth="0">
            <w:col w:w="9460"/>
          </w:cols>
          <w:noEndnote/>
          <w:titlePg/>
          <w:docGrid w:linePitch="326"/>
        </w:sectPr>
      </w:pPr>
      <w:r w:rsidRPr="000659E9">
        <w:rPr>
          <w:rFonts w:cs="Arial"/>
        </w:rPr>
        <w:t>For help receiving materials in alternate languages or formats, contact the Communications Division, (360) 407-8200 or </w:t>
      </w:r>
      <w:hyperlink r:id="rId9" w:tgtFrame="_blank" w:history="1">
        <w:r w:rsidRPr="000659E9">
          <w:rPr>
            <w:rFonts w:cs="Arial"/>
          </w:rPr>
          <w:t>accessibility@des.wa.gov</w:t>
        </w:r>
      </w:hyperlink>
      <w:r w:rsidRPr="000659E9">
        <w:rPr>
          <w:rFonts w:cs="Arial"/>
        </w:rPr>
        <w:t>.</w:t>
      </w:r>
      <w:r w:rsidR="00936D64" w:rsidRPr="00A53E6D">
        <w:rPr>
          <w:rFonts w:cs="Arial"/>
        </w:rPr>
        <w:t xml:space="preserve"> </w:t>
      </w:r>
      <w:r w:rsidR="004B1DF0" w:rsidRPr="00A53E6D">
        <w:rPr>
          <w:rFonts w:cs="Arial"/>
        </w:rPr>
        <w:t>TTY/TDD users should</w:t>
      </w:r>
      <w:r w:rsidR="003F435B" w:rsidRPr="00A53E6D">
        <w:rPr>
          <w:rFonts w:cs="Arial"/>
        </w:rPr>
        <w:t xml:space="preserve"> </w:t>
      </w:r>
      <w:r w:rsidR="004B1DF0" w:rsidRPr="00A53E6D">
        <w:rPr>
          <w:rFonts w:cs="Arial"/>
        </w:rPr>
        <w:t>contact DES via the Washington Relay</w:t>
      </w:r>
      <w:r w:rsidR="004B1DF0" w:rsidRPr="00A53E6D">
        <w:rPr>
          <w:rFonts w:cs="Arial"/>
          <w:spacing w:val="-5"/>
        </w:rPr>
        <w:t xml:space="preserve"> </w:t>
      </w:r>
      <w:r w:rsidR="004B1DF0" w:rsidRPr="00A53E6D">
        <w:rPr>
          <w:rFonts w:cs="Arial"/>
        </w:rPr>
        <w:t>Service at</w:t>
      </w:r>
      <w:r w:rsidR="004B1DF0" w:rsidRPr="00A53E6D">
        <w:rPr>
          <w:rFonts w:cs="Arial"/>
          <w:spacing w:val="2"/>
        </w:rPr>
        <w:t xml:space="preserve"> </w:t>
      </w:r>
      <w:r w:rsidR="004B1DF0" w:rsidRPr="00A53E6D">
        <w:rPr>
          <w:rFonts w:cs="Arial"/>
        </w:rPr>
        <w:t xml:space="preserve">711 or </w:t>
      </w:r>
      <w:r w:rsidR="003F435B">
        <w:rPr>
          <w:rFonts w:cs="Arial"/>
        </w:rPr>
        <w:t>(</w:t>
      </w:r>
      <w:r w:rsidR="004B1DF0" w:rsidRPr="00A53E6D">
        <w:rPr>
          <w:rFonts w:cs="Arial"/>
        </w:rPr>
        <w:t>800</w:t>
      </w:r>
      <w:r w:rsidR="003F435B">
        <w:rPr>
          <w:rFonts w:cs="Arial"/>
        </w:rPr>
        <w:t xml:space="preserve">) </w:t>
      </w:r>
      <w:r w:rsidR="004B1DF0" w:rsidRPr="00A53E6D">
        <w:rPr>
          <w:rFonts w:cs="Arial"/>
        </w:rPr>
        <w:t>833-638</w:t>
      </w:r>
      <w:r w:rsidR="0077055C">
        <w:rPr>
          <w:rFonts w:cs="Arial"/>
        </w:rPr>
        <w:t>4</w:t>
      </w:r>
      <w:r w:rsidR="00057340">
        <w:rPr>
          <w:rFonts w:cs="Arial"/>
        </w:rPr>
        <w:t>.</w:t>
      </w:r>
    </w:p>
    <w:p w14:paraId="7A2003AC" w14:textId="77777777" w:rsidR="004B1DF0" w:rsidRPr="00446980" w:rsidRDefault="004B1DF0" w:rsidP="00024BD3">
      <w:pPr>
        <w:jc w:val="both"/>
        <w:sectPr w:rsidR="004B1DF0" w:rsidRPr="00446980" w:rsidSect="00AD6D56">
          <w:type w:val="continuous"/>
          <w:pgSz w:w="12240" w:h="15840"/>
          <w:pgMar w:top="1440" w:right="1440" w:bottom="1152" w:left="1440" w:header="753" w:footer="0" w:gutter="0"/>
          <w:pgNumType w:start="0"/>
          <w:cols w:space="720" w:equalWidth="0">
            <w:col w:w="9460"/>
          </w:cols>
          <w:noEndnote/>
          <w:titlePg/>
          <w:docGrid w:linePitch="326"/>
        </w:sectPr>
      </w:pPr>
    </w:p>
    <w:p w14:paraId="3939DC44" w14:textId="77777777" w:rsidR="00BD2129" w:rsidRDefault="00BD2129" w:rsidP="00024BD3">
      <w:pPr>
        <w:pStyle w:val="Heading1"/>
        <w:spacing w:before="240"/>
        <w:jc w:val="both"/>
        <w:rPr>
          <w:rFonts w:cs="Arial"/>
        </w:rPr>
      </w:pPr>
      <w:r>
        <w:rPr>
          <w:rFonts w:cs="Arial"/>
        </w:rPr>
        <w:lastRenderedPageBreak/>
        <w:t>Report Highlights</w:t>
      </w:r>
    </w:p>
    <w:p w14:paraId="7BC3DD10" w14:textId="77777777" w:rsidR="00BD2129" w:rsidRPr="00BD2129" w:rsidRDefault="00BD2129" w:rsidP="00024BD3">
      <w:pPr>
        <w:pStyle w:val="ListParagraph"/>
        <w:numPr>
          <w:ilvl w:val="0"/>
          <w:numId w:val="45"/>
        </w:numPr>
        <w:jc w:val="both"/>
        <w:rPr>
          <w:rFonts w:cs="Arial"/>
        </w:rPr>
      </w:pPr>
      <w:r w:rsidRPr="00BD2129">
        <w:rPr>
          <w:rFonts w:cs="Arial"/>
        </w:rPr>
        <w:t xml:space="preserve">During </w:t>
      </w:r>
      <w:r w:rsidR="00557403" w:rsidRPr="00BD2129">
        <w:rPr>
          <w:rFonts w:cs="Arial"/>
        </w:rPr>
        <w:t>20</w:t>
      </w:r>
      <w:r w:rsidR="00557403">
        <w:rPr>
          <w:rFonts w:cs="Arial"/>
        </w:rPr>
        <w:t>20</w:t>
      </w:r>
      <w:r w:rsidRPr="00BD2129">
        <w:rPr>
          <w:rFonts w:cs="Arial"/>
        </w:rPr>
        <w:t>, biodiesel purchased by state agencies, including universities, totaled over 1.</w:t>
      </w:r>
      <w:r w:rsidR="008A5B9D">
        <w:rPr>
          <w:rFonts w:cs="Arial"/>
        </w:rPr>
        <w:t>7</w:t>
      </w:r>
      <w:r w:rsidRPr="00BD2129">
        <w:rPr>
          <w:rFonts w:cs="Arial"/>
        </w:rPr>
        <w:t xml:space="preserve"> million gallons, or </w:t>
      </w:r>
      <w:r w:rsidR="00557403">
        <w:rPr>
          <w:rFonts w:cs="Arial"/>
        </w:rPr>
        <w:t>9.</w:t>
      </w:r>
      <w:r w:rsidR="0072636A">
        <w:rPr>
          <w:rFonts w:cs="Arial"/>
        </w:rPr>
        <w:t>5</w:t>
      </w:r>
      <w:r w:rsidR="00292F2C">
        <w:rPr>
          <w:rFonts w:cs="Arial"/>
        </w:rPr>
        <w:t>%</w:t>
      </w:r>
      <w:r w:rsidRPr="00BD2129">
        <w:rPr>
          <w:rFonts w:cs="Arial"/>
        </w:rPr>
        <w:t xml:space="preserve"> of the fuel purchased to run diesel vehicles, vessels and equipment, and fire boilers to heat and power facilities. This is a</w:t>
      </w:r>
      <w:r w:rsidR="008A5B9D">
        <w:rPr>
          <w:rFonts w:cs="Arial"/>
        </w:rPr>
        <w:t xml:space="preserve"> 2.</w:t>
      </w:r>
      <w:r w:rsidR="0072636A">
        <w:rPr>
          <w:rFonts w:cs="Arial"/>
        </w:rPr>
        <w:t>6</w:t>
      </w:r>
      <w:r w:rsidR="00557403">
        <w:rPr>
          <w:rFonts w:cs="Arial"/>
        </w:rPr>
        <w:t>% improvement from last year, when the biodiesel use was 6.9%.</w:t>
      </w:r>
      <w:r w:rsidRPr="00BD2129">
        <w:rPr>
          <w:rFonts w:cs="Arial"/>
        </w:rPr>
        <w:t xml:space="preserve"> </w:t>
      </w:r>
    </w:p>
    <w:p w14:paraId="2404B024" w14:textId="2678ED25" w:rsidR="00BD2129" w:rsidRPr="00BD2129" w:rsidRDefault="00BD2129" w:rsidP="00024BD3">
      <w:pPr>
        <w:pStyle w:val="ListParagraph"/>
        <w:numPr>
          <w:ilvl w:val="0"/>
          <w:numId w:val="45"/>
        </w:numPr>
        <w:jc w:val="both"/>
        <w:rPr>
          <w:rFonts w:cs="Arial"/>
        </w:rPr>
      </w:pPr>
      <w:r w:rsidRPr="00BD2129">
        <w:rPr>
          <w:rFonts w:cs="Arial"/>
        </w:rPr>
        <w:t xml:space="preserve">Washington State Ferries (WSF) is the largest state agency consumer of diesel, accounting for </w:t>
      </w:r>
      <w:r w:rsidR="008A5B9D">
        <w:rPr>
          <w:rFonts w:cs="Arial"/>
        </w:rPr>
        <w:t>81</w:t>
      </w:r>
      <w:r w:rsidR="00292F2C">
        <w:rPr>
          <w:rFonts w:cs="Arial"/>
        </w:rPr>
        <w:t>%</w:t>
      </w:r>
      <w:r w:rsidRPr="00BD2129">
        <w:rPr>
          <w:rFonts w:cs="Arial"/>
        </w:rPr>
        <w:t xml:space="preserve"> of all purchases. WSF purchased </w:t>
      </w:r>
      <w:r w:rsidR="00ED3B2C">
        <w:rPr>
          <w:rFonts w:cs="Arial"/>
        </w:rPr>
        <w:t>1,448,102</w:t>
      </w:r>
      <w:r w:rsidRPr="00BD2129">
        <w:rPr>
          <w:rFonts w:cs="Arial"/>
        </w:rPr>
        <w:t xml:space="preserve"> gallons of biodiesel during </w:t>
      </w:r>
      <w:r w:rsidR="003327BE" w:rsidRPr="00BD2129">
        <w:rPr>
          <w:rFonts w:cs="Arial"/>
        </w:rPr>
        <w:t>20</w:t>
      </w:r>
      <w:r w:rsidR="003327BE">
        <w:rPr>
          <w:rFonts w:cs="Arial"/>
        </w:rPr>
        <w:t>20</w:t>
      </w:r>
      <w:r w:rsidRPr="00BD2129">
        <w:rPr>
          <w:rFonts w:cs="Arial"/>
        </w:rPr>
        <w:t xml:space="preserve">, </w:t>
      </w:r>
      <w:r w:rsidR="003327BE">
        <w:rPr>
          <w:rFonts w:cs="Arial"/>
        </w:rPr>
        <w:t>21</w:t>
      </w:r>
      <w:r w:rsidR="00292F2C">
        <w:rPr>
          <w:rFonts w:cs="Arial"/>
        </w:rPr>
        <w:t>%</w:t>
      </w:r>
      <w:r w:rsidRPr="00BD2129">
        <w:rPr>
          <w:rFonts w:cs="Arial"/>
        </w:rPr>
        <w:t xml:space="preserve"> more than was purchased in </w:t>
      </w:r>
      <w:r w:rsidR="003327BE" w:rsidRPr="00BD2129">
        <w:rPr>
          <w:rFonts w:cs="Arial"/>
        </w:rPr>
        <w:t>201</w:t>
      </w:r>
      <w:r w:rsidR="003327BE">
        <w:rPr>
          <w:rFonts w:cs="Arial"/>
        </w:rPr>
        <w:t>9</w:t>
      </w:r>
      <w:r w:rsidRPr="00BD2129">
        <w:rPr>
          <w:rFonts w:cs="Arial"/>
        </w:rPr>
        <w:t xml:space="preserve">. WSF averaged </w:t>
      </w:r>
      <w:r w:rsidR="003327BE">
        <w:rPr>
          <w:rFonts w:cs="Arial"/>
        </w:rPr>
        <w:t>9.8</w:t>
      </w:r>
      <w:r w:rsidR="00292F2C">
        <w:rPr>
          <w:rFonts w:cs="Arial"/>
        </w:rPr>
        <w:t>%</w:t>
      </w:r>
      <w:r w:rsidRPr="00BD2129">
        <w:rPr>
          <w:rFonts w:cs="Arial"/>
        </w:rPr>
        <w:t xml:space="preserve"> biodiesel, up from </w:t>
      </w:r>
      <w:r w:rsidR="003327BE">
        <w:rPr>
          <w:rFonts w:cs="Arial"/>
        </w:rPr>
        <w:t>6.4</w:t>
      </w:r>
      <w:r w:rsidR="00292F2C">
        <w:rPr>
          <w:rFonts w:cs="Arial"/>
        </w:rPr>
        <w:t>%</w:t>
      </w:r>
      <w:r w:rsidRPr="00BD2129">
        <w:rPr>
          <w:rFonts w:cs="Arial"/>
        </w:rPr>
        <w:t xml:space="preserve"> in </w:t>
      </w:r>
      <w:r w:rsidR="003327BE" w:rsidRPr="00BD2129">
        <w:rPr>
          <w:rFonts w:cs="Arial"/>
        </w:rPr>
        <w:t>201</w:t>
      </w:r>
      <w:r w:rsidR="003327BE">
        <w:rPr>
          <w:rFonts w:cs="Arial"/>
        </w:rPr>
        <w:t>9</w:t>
      </w:r>
      <w:r w:rsidRPr="00BD2129">
        <w:rPr>
          <w:rFonts w:cs="Arial"/>
        </w:rPr>
        <w:t xml:space="preserve">. B10, which contains </w:t>
      </w:r>
      <w:r w:rsidR="00292F2C">
        <w:rPr>
          <w:rFonts w:cs="Arial"/>
        </w:rPr>
        <w:t>10%</w:t>
      </w:r>
      <w:r w:rsidRPr="00BD2129">
        <w:rPr>
          <w:rFonts w:cs="Arial"/>
        </w:rPr>
        <w:t xml:space="preserve"> biodiesel, was introduced to the fleet in July 2019, and by October </w:t>
      </w:r>
      <w:r w:rsidR="003327BE">
        <w:rPr>
          <w:rFonts w:cs="Arial"/>
        </w:rPr>
        <w:t xml:space="preserve">2019 was </w:t>
      </w:r>
      <w:r w:rsidRPr="00BD2129">
        <w:rPr>
          <w:rFonts w:cs="Arial"/>
        </w:rPr>
        <w:t>the standard fuel for all vessels.</w:t>
      </w:r>
    </w:p>
    <w:p w14:paraId="62E61C55" w14:textId="77777777" w:rsidR="00BD2129" w:rsidRPr="00BD2129" w:rsidRDefault="00BD2129" w:rsidP="00024BD3">
      <w:pPr>
        <w:pStyle w:val="ListParagraph"/>
        <w:numPr>
          <w:ilvl w:val="0"/>
          <w:numId w:val="45"/>
        </w:numPr>
        <w:jc w:val="both"/>
        <w:rPr>
          <w:rFonts w:cs="Arial"/>
        </w:rPr>
      </w:pPr>
      <w:r w:rsidRPr="00BD2129">
        <w:rPr>
          <w:rFonts w:cs="Arial"/>
        </w:rPr>
        <w:t>Beyond maritime operations, the Washington State Department of Transportation (WSDOT) was the state’s second largest purchaser of diesel, accounting for 12</w:t>
      </w:r>
      <w:r w:rsidR="00292F2C">
        <w:rPr>
          <w:rFonts w:cs="Arial"/>
        </w:rPr>
        <w:t>%</w:t>
      </w:r>
      <w:r w:rsidRPr="00BD2129">
        <w:rPr>
          <w:rFonts w:cs="Arial"/>
        </w:rPr>
        <w:t xml:space="preserve"> of all purchases. WSDOT purchased </w:t>
      </w:r>
      <w:r w:rsidR="00760234">
        <w:rPr>
          <w:rFonts w:cs="Arial"/>
        </w:rPr>
        <w:t>282,960</w:t>
      </w:r>
      <w:r w:rsidRPr="00BD2129">
        <w:rPr>
          <w:rFonts w:cs="Arial"/>
        </w:rPr>
        <w:t xml:space="preserve"> gallons of biodiesel during </w:t>
      </w:r>
      <w:r w:rsidR="00760234" w:rsidRPr="00BD2129">
        <w:rPr>
          <w:rFonts w:cs="Arial"/>
        </w:rPr>
        <w:t>20</w:t>
      </w:r>
      <w:r w:rsidR="00760234">
        <w:rPr>
          <w:rFonts w:cs="Arial"/>
        </w:rPr>
        <w:t>20</w:t>
      </w:r>
      <w:r w:rsidRPr="00BD2129">
        <w:rPr>
          <w:rFonts w:cs="Arial"/>
        </w:rPr>
        <w:t>, with an average blend level of 12.</w:t>
      </w:r>
      <w:r w:rsidR="00760234">
        <w:rPr>
          <w:rFonts w:cs="Arial"/>
        </w:rPr>
        <w:t>6</w:t>
      </w:r>
      <w:r w:rsidR="00292F2C">
        <w:rPr>
          <w:rFonts w:cs="Arial"/>
        </w:rPr>
        <w:t>%</w:t>
      </w:r>
      <w:r w:rsidRPr="00BD2129">
        <w:rPr>
          <w:rFonts w:cs="Arial"/>
        </w:rPr>
        <w:t xml:space="preserve"> biodiesel. This level was down from </w:t>
      </w:r>
      <w:r w:rsidR="00760234">
        <w:rPr>
          <w:rFonts w:cs="Arial"/>
        </w:rPr>
        <w:t>12.9</w:t>
      </w:r>
      <w:r w:rsidR="00292F2C">
        <w:rPr>
          <w:rFonts w:cs="Arial"/>
        </w:rPr>
        <w:t>%</w:t>
      </w:r>
      <w:r w:rsidRPr="00BD2129">
        <w:rPr>
          <w:rFonts w:cs="Arial"/>
        </w:rPr>
        <w:t xml:space="preserve"> in 201</w:t>
      </w:r>
      <w:r w:rsidR="00760234">
        <w:rPr>
          <w:rFonts w:cs="Arial"/>
        </w:rPr>
        <w:t>9</w:t>
      </w:r>
      <w:r w:rsidRPr="00BD2129">
        <w:rPr>
          <w:rFonts w:cs="Arial"/>
        </w:rPr>
        <w:t>, and was the lowest since 201</w:t>
      </w:r>
      <w:r w:rsidR="00760234">
        <w:rPr>
          <w:rFonts w:cs="Arial"/>
        </w:rPr>
        <w:t>3</w:t>
      </w:r>
      <w:r w:rsidRPr="00BD2129">
        <w:rPr>
          <w:rFonts w:cs="Arial"/>
        </w:rPr>
        <w:t>.</w:t>
      </w:r>
    </w:p>
    <w:p w14:paraId="30D9DF1E" w14:textId="77777777" w:rsidR="00BD2129" w:rsidRPr="00BD2129" w:rsidRDefault="00255B3E" w:rsidP="00024BD3">
      <w:pPr>
        <w:pStyle w:val="ListParagraph"/>
        <w:numPr>
          <w:ilvl w:val="0"/>
          <w:numId w:val="45"/>
        </w:numPr>
        <w:jc w:val="both"/>
        <w:rPr>
          <w:rFonts w:cs="Arial"/>
        </w:rPr>
      </w:pPr>
      <w:r>
        <w:rPr>
          <w:rFonts w:cs="Arial"/>
        </w:rPr>
        <w:t xml:space="preserve">Other </w:t>
      </w:r>
      <w:r w:rsidR="00BD2129" w:rsidRPr="00BD2129">
        <w:rPr>
          <w:rFonts w:cs="Arial"/>
        </w:rPr>
        <w:t xml:space="preserve">agencies, including all six universities, purchased diesel during the year, accounting for the remaining </w:t>
      </w:r>
      <w:r w:rsidR="00292F2C">
        <w:rPr>
          <w:rFonts w:cs="Arial"/>
        </w:rPr>
        <w:t>7%</w:t>
      </w:r>
      <w:r w:rsidR="00BD2129" w:rsidRPr="00BD2129">
        <w:rPr>
          <w:rFonts w:cs="Arial"/>
        </w:rPr>
        <w:t xml:space="preserve"> of fuel purchases. As universities are not required to procure fuel under the state’s Master Contracts, their total diesel consumption </w:t>
      </w:r>
      <w:r w:rsidR="00DE50FB">
        <w:rPr>
          <w:rFonts w:cs="Arial"/>
        </w:rPr>
        <w:t>may not be</w:t>
      </w:r>
      <w:r w:rsidR="00BD2129" w:rsidRPr="00BD2129">
        <w:rPr>
          <w:rFonts w:cs="Arial"/>
        </w:rPr>
        <w:t xml:space="preserve"> accurately accounted for in </w:t>
      </w:r>
      <w:r w:rsidR="00DE50FB">
        <w:rPr>
          <w:rFonts w:cs="Arial"/>
        </w:rPr>
        <w:t>this report</w:t>
      </w:r>
      <w:r w:rsidR="00BD2129" w:rsidRPr="00BD2129">
        <w:rPr>
          <w:rFonts w:cs="Arial"/>
        </w:rPr>
        <w:t xml:space="preserve">. </w:t>
      </w:r>
    </w:p>
    <w:p w14:paraId="31514D81" w14:textId="77777777" w:rsidR="00BD2129" w:rsidRPr="00BD2129" w:rsidRDefault="00BD2129" w:rsidP="00024BD3">
      <w:pPr>
        <w:pStyle w:val="ListParagraph"/>
        <w:numPr>
          <w:ilvl w:val="0"/>
          <w:numId w:val="45"/>
        </w:numPr>
        <w:jc w:val="both"/>
        <w:rPr>
          <w:rFonts w:cs="Arial"/>
        </w:rPr>
      </w:pPr>
      <w:r w:rsidRPr="00BD2129">
        <w:rPr>
          <w:rFonts w:cs="Arial"/>
        </w:rPr>
        <w:t xml:space="preserve">The state departments of Corrections, </w:t>
      </w:r>
      <w:r w:rsidR="00DE50FB">
        <w:rPr>
          <w:rFonts w:cs="Arial"/>
        </w:rPr>
        <w:t xml:space="preserve">Social and Health Services, </w:t>
      </w:r>
      <w:r w:rsidRPr="00BD2129">
        <w:rPr>
          <w:rFonts w:cs="Arial"/>
        </w:rPr>
        <w:t xml:space="preserve">Natural Resources, and Fish and Wildlife, along with the University of Washington, were the only other agencies to purchase biodiesel. Their combined procurement of </w:t>
      </w:r>
      <w:r w:rsidR="00DE50FB">
        <w:rPr>
          <w:rFonts w:cs="Arial"/>
        </w:rPr>
        <w:t>13,</w:t>
      </w:r>
      <w:r w:rsidR="00ED3B2C">
        <w:rPr>
          <w:rFonts w:cs="Arial"/>
        </w:rPr>
        <w:t xml:space="preserve">814 </w:t>
      </w:r>
      <w:r w:rsidRPr="00BD2129">
        <w:rPr>
          <w:rFonts w:cs="Arial"/>
        </w:rPr>
        <w:t xml:space="preserve">gallons of biodiesel accounted for </w:t>
      </w:r>
      <w:r w:rsidR="00DE50FB">
        <w:rPr>
          <w:rFonts w:cs="Arial"/>
        </w:rPr>
        <w:t xml:space="preserve">less than </w:t>
      </w:r>
      <w:r w:rsidR="00292F2C">
        <w:rPr>
          <w:rFonts w:cs="Arial"/>
        </w:rPr>
        <w:t>1%</w:t>
      </w:r>
      <w:r w:rsidRPr="00BD2129">
        <w:rPr>
          <w:rFonts w:cs="Arial"/>
        </w:rPr>
        <w:t xml:space="preserve"> of total fuel purchases.</w:t>
      </w:r>
    </w:p>
    <w:p w14:paraId="17170BE8" w14:textId="77777777" w:rsidR="004B1DF0" w:rsidRPr="00A53E6D" w:rsidRDefault="005C557A" w:rsidP="00024BD3">
      <w:pPr>
        <w:pStyle w:val="Heading1"/>
        <w:jc w:val="both"/>
        <w:rPr>
          <w:rFonts w:cs="Arial"/>
        </w:rPr>
      </w:pPr>
      <w:r w:rsidRPr="00A53E6D">
        <w:rPr>
          <w:rFonts w:cs="Arial"/>
        </w:rPr>
        <w:t>Background</w:t>
      </w:r>
    </w:p>
    <w:p w14:paraId="6A30860A" w14:textId="77777777" w:rsidR="00484F57" w:rsidRDefault="009D6E09" w:rsidP="00024BD3">
      <w:pPr>
        <w:pStyle w:val="BodyText"/>
        <w:jc w:val="both"/>
        <w:rPr>
          <w:rFonts w:cs="Arial"/>
        </w:rPr>
      </w:pPr>
      <w:r w:rsidRPr="00A53E6D">
        <w:rPr>
          <w:rFonts w:cs="Arial"/>
        </w:rPr>
        <w:t xml:space="preserve">This report covers January 1 through December 31, </w:t>
      </w:r>
      <w:r w:rsidR="00B72997" w:rsidRPr="00A53E6D">
        <w:rPr>
          <w:rFonts w:cs="Arial"/>
        </w:rPr>
        <w:t>20</w:t>
      </w:r>
      <w:r w:rsidR="00B72997">
        <w:rPr>
          <w:rFonts w:cs="Arial"/>
        </w:rPr>
        <w:t>20</w:t>
      </w:r>
      <w:r w:rsidRPr="00A53E6D">
        <w:rPr>
          <w:rFonts w:cs="Arial"/>
        </w:rPr>
        <w:t xml:space="preserve">, and focuses on bulk fuel purchased through state fuel contracts </w:t>
      </w:r>
      <w:r w:rsidR="0049127A">
        <w:rPr>
          <w:rFonts w:cs="Arial"/>
        </w:rPr>
        <w:t xml:space="preserve">and on the open market </w:t>
      </w:r>
      <w:r w:rsidRPr="00A53E6D">
        <w:rPr>
          <w:rFonts w:cs="Arial"/>
        </w:rPr>
        <w:t>to operate diesel-powered vessels, vehicles, and equipment</w:t>
      </w:r>
      <w:r w:rsidR="00E30B07">
        <w:rPr>
          <w:rFonts w:cs="Arial"/>
        </w:rPr>
        <w:t>.</w:t>
      </w:r>
      <w:r w:rsidR="00DB5CA2" w:rsidDel="00DB5CA2">
        <w:rPr>
          <w:rFonts w:cs="Arial"/>
        </w:rPr>
        <w:t xml:space="preserve"> </w:t>
      </w:r>
    </w:p>
    <w:p w14:paraId="629327C4" w14:textId="77777777" w:rsidR="00484F57" w:rsidRDefault="00484F57" w:rsidP="00024BD3">
      <w:pPr>
        <w:pStyle w:val="BodyText"/>
        <w:jc w:val="both"/>
        <w:rPr>
          <w:rFonts w:cs="Arial"/>
        </w:rPr>
      </w:pPr>
    </w:p>
    <w:p w14:paraId="426966E4" w14:textId="77777777" w:rsidR="009D6E09" w:rsidRDefault="009D6E09" w:rsidP="00024BD3">
      <w:pPr>
        <w:pStyle w:val="BodyText"/>
        <w:jc w:val="both"/>
        <w:rPr>
          <w:rFonts w:cs="Arial"/>
          <w:noProof/>
        </w:rPr>
      </w:pPr>
      <w:r w:rsidRPr="00A53E6D">
        <w:rPr>
          <w:rFonts w:cs="Arial"/>
        </w:rPr>
        <w:t xml:space="preserve">The term “biodiesel” means pure biodiesel unless clearly indicated otherwise. Biodiesel blends are specified by the capital letter “B” followed by the percentage of biodiesel. </w:t>
      </w:r>
      <w:r w:rsidR="00345EC2">
        <w:rPr>
          <w:rFonts w:cs="Arial"/>
        </w:rPr>
        <w:t>For example</w:t>
      </w:r>
      <w:r w:rsidRPr="00A53E6D">
        <w:rPr>
          <w:rFonts w:cs="Arial"/>
        </w:rPr>
        <w:t xml:space="preserve">, B5 contains </w:t>
      </w:r>
      <w:r w:rsidR="00292F2C">
        <w:rPr>
          <w:rFonts w:cs="Arial"/>
        </w:rPr>
        <w:t>5%</w:t>
      </w:r>
      <w:r w:rsidRPr="00A53E6D">
        <w:rPr>
          <w:rFonts w:cs="Arial"/>
        </w:rPr>
        <w:t xml:space="preserve"> biodiesel and 95</w:t>
      </w:r>
      <w:r w:rsidR="00292F2C">
        <w:rPr>
          <w:rFonts w:cs="Arial"/>
        </w:rPr>
        <w:t>%</w:t>
      </w:r>
      <w:r w:rsidRPr="00A53E6D">
        <w:rPr>
          <w:rFonts w:cs="Arial"/>
        </w:rPr>
        <w:t xml:space="preserve"> diesel. In tables and charts, biodiesel is expressed in B100 gallons.</w:t>
      </w:r>
      <w:r w:rsidR="007A3F86">
        <w:rPr>
          <w:rFonts w:cs="Arial"/>
          <w:noProof/>
        </w:rPr>
        <w:t xml:space="preserve"> To avoid confusion, the term “fuel” is used to indicate a combination of all forms of diesel, including biodiesel.</w:t>
      </w:r>
    </w:p>
    <w:p w14:paraId="609D06C0" w14:textId="77777777" w:rsidR="002C4E32" w:rsidRDefault="002C4E32" w:rsidP="00024BD3">
      <w:pPr>
        <w:pStyle w:val="BodyText"/>
        <w:jc w:val="both"/>
        <w:rPr>
          <w:rFonts w:cs="Arial"/>
          <w:noProof/>
        </w:rPr>
      </w:pPr>
    </w:p>
    <w:p w14:paraId="0318F05C" w14:textId="77777777" w:rsidR="004B1DF0" w:rsidRPr="00A53E6D" w:rsidRDefault="004B1DF0" w:rsidP="00024BD3">
      <w:pPr>
        <w:pStyle w:val="BodyText"/>
        <w:jc w:val="both"/>
        <w:rPr>
          <w:rFonts w:cs="Arial"/>
        </w:rPr>
      </w:pPr>
      <w:r w:rsidRPr="00A53E6D">
        <w:rPr>
          <w:rFonts w:cs="Arial"/>
        </w:rPr>
        <w:t xml:space="preserve">As a part of the state’s efforts to reduce </w:t>
      </w:r>
      <w:r w:rsidR="00345EC2">
        <w:rPr>
          <w:rFonts w:cs="Arial"/>
        </w:rPr>
        <w:t>emissions and</w:t>
      </w:r>
      <w:r w:rsidR="00345EC2" w:rsidRPr="00A53E6D">
        <w:rPr>
          <w:rFonts w:cs="Arial"/>
        </w:rPr>
        <w:t xml:space="preserve"> </w:t>
      </w:r>
      <w:r w:rsidRPr="00A53E6D">
        <w:rPr>
          <w:rFonts w:cs="Arial"/>
        </w:rPr>
        <w:t xml:space="preserve">dependence on foreign oil, and stimulate local production and use of biodiesel, state law has mandated </w:t>
      </w:r>
      <w:r w:rsidR="00057319">
        <w:rPr>
          <w:rFonts w:cs="Arial"/>
        </w:rPr>
        <w:t xml:space="preserve">that </w:t>
      </w:r>
      <w:r w:rsidRPr="00A53E6D">
        <w:rPr>
          <w:rFonts w:cs="Arial"/>
        </w:rPr>
        <w:t>agencies use biodiesel</w:t>
      </w:r>
      <w:r w:rsidR="00057319">
        <w:rPr>
          <w:rFonts w:cs="Arial"/>
        </w:rPr>
        <w:t>-blended</w:t>
      </w:r>
      <w:r w:rsidRPr="00A53E6D">
        <w:rPr>
          <w:rFonts w:cs="Arial"/>
        </w:rPr>
        <w:t xml:space="preserve"> fuels to operate diesel-powered vessels, vehicles and construction equipment since 2009.</w:t>
      </w:r>
      <w:r w:rsidR="00936D64" w:rsidRPr="00A53E6D">
        <w:rPr>
          <w:rFonts w:cs="Arial"/>
        </w:rPr>
        <w:t xml:space="preserve"> </w:t>
      </w:r>
      <w:r w:rsidRPr="00A53E6D">
        <w:rPr>
          <w:rFonts w:cs="Arial"/>
        </w:rPr>
        <w:t xml:space="preserve">Under current law, </w:t>
      </w:r>
      <w:r w:rsidR="004D44E0" w:rsidRPr="00A53E6D">
        <w:rPr>
          <w:rFonts w:cs="Arial"/>
        </w:rPr>
        <w:t xml:space="preserve">WSF </w:t>
      </w:r>
      <w:r w:rsidRPr="00A53E6D">
        <w:rPr>
          <w:rFonts w:cs="Arial"/>
        </w:rPr>
        <w:t>is to use a minimum</w:t>
      </w:r>
      <w:r w:rsidR="006B1B45">
        <w:rPr>
          <w:rFonts w:cs="Arial"/>
        </w:rPr>
        <w:t xml:space="preserve"> blend</w:t>
      </w:r>
      <w:r w:rsidRPr="00A53E6D">
        <w:rPr>
          <w:rFonts w:cs="Arial"/>
        </w:rPr>
        <w:t xml:space="preserve"> of </w:t>
      </w:r>
      <w:r w:rsidR="00A42A4D">
        <w:rPr>
          <w:rFonts w:cs="Arial"/>
        </w:rPr>
        <w:t>B</w:t>
      </w:r>
      <w:r w:rsidRPr="00A53E6D">
        <w:rPr>
          <w:rFonts w:cs="Arial"/>
        </w:rPr>
        <w:t xml:space="preserve">5 in all vessels as long as the price </w:t>
      </w:r>
      <w:r w:rsidR="00C229C7">
        <w:rPr>
          <w:rFonts w:cs="Arial"/>
        </w:rPr>
        <w:t xml:space="preserve">of B5 or B10 </w:t>
      </w:r>
      <w:r w:rsidRPr="00A53E6D">
        <w:rPr>
          <w:rFonts w:cs="Arial"/>
        </w:rPr>
        <w:t xml:space="preserve">does not exceed the price of </w:t>
      </w:r>
      <w:r w:rsidR="00057319">
        <w:rPr>
          <w:rFonts w:cs="Arial"/>
        </w:rPr>
        <w:t xml:space="preserve">petroleum </w:t>
      </w:r>
      <w:r w:rsidRPr="00A53E6D">
        <w:rPr>
          <w:rFonts w:cs="Arial"/>
        </w:rPr>
        <w:t xml:space="preserve">diesel by </w:t>
      </w:r>
      <w:r w:rsidR="008B2A81">
        <w:rPr>
          <w:rFonts w:cs="Arial"/>
        </w:rPr>
        <w:t>5</w:t>
      </w:r>
      <w:r w:rsidR="00292F2C">
        <w:rPr>
          <w:rFonts w:cs="Arial"/>
        </w:rPr>
        <w:t>%</w:t>
      </w:r>
      <w:r w:rsidRPr="00A53E6D">
        <w:rPr>
          <w:rFonts w:cs="Arial"/>
        </w:rPr>
        <w:t>.</w:t>
      </w:r>
      <w:r w:rsidR="00936D64" w:rsidRPr="00A53E6D">
        <w:rPr>
          <w:rFonts w:cs="Arial"/>
        </w:rPr>
        <w:t xml:space="preserve"> </w:t>
      </w:r>
      <w:bookmarkStart w:id="0" w:name="_Hlk59182264"/>
      <w:r w:rsidRPr="00A53E6D">
        <w:rPr>
          <w:rFonts w:cs="Arial"/>
        </w:rPr>
        <w:t xml:space="preserve">All other state agencies are to use a minimum </w:t>
      </w:r>
      <w:r w:rsidR="00AE44D4">
        <w:rPr>
          <w:rFonts w:cs="Arial"/>
        </w:rPr>
        <w:t xml:space="preserve">blend </w:t>
      </w:r>
      <w:r w:rsidRPr="00A53E6D">
        <w:rPr>
          <w:rFonts w:cs="Arial"/>
        </w:rPr>
        <w:t xml:space="preserve">of </w:t>
      </w:r>
      <w:r w:rsidR="00A42A4D">
        <w:rPr>
          <w:rFonts w:cs="Arial"/>
        </w:rPr>
        <w:t>B</w:t>
      </w:r>
      <w:r w:rsidRPr="00A53E6D">
        <w:rPr>
          <w:rFonts w:cs="Arial"/>
        </w:rPr>
        <w:t xml:space="preserve">20 </w:t>
      </w:r>
      <w:r w:rsidR="00484F57">
        <w:rPr>
          <w:rFonts w:cs="Arial"/>
        </w:rPr>
        <w:t>on an annual</w:t>
      </w:r>
      <w:r w:rsidR="00345EC2">
        <w:rPr>
          <w:rFonts w:cs="Arial"/>
        </w:rPr>
        <w:t>ized</w:t>
      </w:r>
      <w:r w:rsidR="00484F57">
        <w:rPr>
          <w:rFonts w:cs="Arial"/>
        </w:rPr>
        <w:t xml:space="preserve"> basis </w:t>
      </w:r>
      <w:r w:rsidR="00D054F0" w:rsidRPr="00A53E6D">
        <w:rPr>
          <w:rFonts w:cs="Arial"/>
        </w:rPr>
        <w:t>(</w:t>
      </w:r>
      <w:hyperlink r:id="rId10" w:history="1">
        <w:r w:rsidR="00D054F0" w:rsidRPr="00A53E6D">
          <w:rPr>
            <w:rStyle w:val="Hyperlink"/>
            <w:rFonts w:cs="Arial"/>
          </w:rPr>
          <w:t>RCW 43.19.642</w:t>
        </w:r>
      </w:hyperlink>
      <w:r w:rsidR="00D054F0" w:rsidRPr="00A53E6D">
        <w:rPr>
          <w:rFonts w:cs="Arial"/>
        </w:rPr>
        <w:t>)</w:t>
      </w:r>
      <w:r w:rsidR="00057319">
        <w:rPr>
          <w:rFonts w:cs="Arial"/>
        </w:rPr>
        <w:t>.</w:t>
      </w:r>
      <w:bookmarkEnd w:id="0"/>
    </w:p>
    <w:p w14:paraId="6EC9AF84" w14:textId="77777777" w:rsidR="00F965A4" w:rsidRDefault="00F965A4" w:rsidP="00024BD3">
      <w:pPr>
        <w:pStyle w:val="BodyText"/>
        <w:jc w:val="both"/>
        <w:rPr>
          <w:rFonts w:cs="Arial"/>
        </w:rPr>
      </w:pPr>
    </w:p>
    <w:p w14:paraId="4A5F60B4" w14:textId="77777777" w:rsidR="005A525D" w:rsidRDefault="001A4587" w:rsidP="00024BD3">
      <w:pPr>
        <w:pStyle w:val="BodyText"/>
        <w:jc w:val="both"/>
        <w:rPr>
          <w:rFonts w:cs="Arial"/>
        </w:rPr>
      </w:pPr>
      <w:r>
        <w:rPr>
          <w:rFonts w:cs="Arial"/>
        </w:rPr>
        <w:t xml:space="preserve">This policy is reinforced by procurement rules codified under </w:t>
      </w:r>
      <w:hyperlink r:id="rId11" w:history="1">
        <w:r w:rsidRPr="00A53E6D">
          <w:rPr>
            <w:rStyle w:val="Hyperlink"/>
            <w:rFonts w:cs="Arial"/>
          </w:rPr>
          <w:t>WAC 1</w:t>
        </w:r>
        <w:r>
          <w:rPr>
            <w:rStyle w:val="Hyperlink"/>
            <w:rFonts w:cs="Arial"/>
          </w:rPr>
          <w:t>9</w:t>
        </w:r>
        <w:r w:rsidRPr="00A53E6D">
          <w:rPr>
            <w:rStyle w:val="Hyperlink"/>
            <w:rFonts w:cs="Arial"/>
          </w:rPr>
          <w:t>4-28</w:t>
        </w:r>
      </w:hyperlink>
      <w:r>
        <w:rPr>
          <w:rFonts w:cs="Arial"/>
        </w:rPr>
        <w:t xml:space="preserve">, which directs state agencies to </w:t>
      </w:r>
      <w:r w:rsidR="005A525D">
        <w:rPr>
          <w:rFonts w:cs="Arial"/>
        </w:rPr>
        <w:t xml:space="preserve">use biofuels and electricity, to the extent practicable, for publicly-owned vessels, vehicles and construction equipment. These rules reinforce the criteria cited in RCW 43.19.642 and highlight compliance expectations for the </w:t>
      </w:r>
      <w:r w:rsidR="00F86D8A">
        <w:rPr>
          <w:rFonts w:cs="Arial"/>
        </w:rPr>
        <w:t xml:space="preserve">16 </w:t>
      </w:r>
      <w:r w:rsidR="005A525D">
        <w:rPr>
          <w:rFonts w:cs="Arial"/>
        </w:rPr>
        <w:t>agencies and universities with the highest levels of gasoline and diesel consumption.</w:t>
      </w:r>
      <w:r w:rsidR="0049127A">
        <w:rPr>
          <w:rFonts w:cs="Arial"/>
        </w:rPr>
        <w:t xml:space="preserve"> </w:t>
      </w:r>
      <w:r w:rsidR="005A525D">
        <w:rPr>
          <w:rFonts w:cs="Arial"/>
        </w:rPr>
        <w:t xml:space="preserve">In addition, </w:t>
      </w:r>
      <w:hyperlink r:id="rId12" w:history="1">
        <w:r w:rsidR="005A525D" w:rsidRPr="005A525D">
          <w:rPr>
            <w:rStyle w:val="Hyperlink"/>
            <w:rFonts w:cs="Arial"/>
          </w:rPr>
          <w:t>Executive Order 20-01</w:t>
        </w:r>
      </w:hyperlink>
      <w:r w:rsidR="005A525D">
        <w:rPr>
          <w:rFonts w:cs="Arial"/>
        </w:rPr>
        <w:t xml:space="preserve"> directs agencies to reduce emissions of greenhouse gases and other toxins by procuring lower-emission options when “cost-effective and workable solutions are available.”</w:t>
      </w:r>
    </w:p>
    <w:p w14:paraId="480DACA3" w14:textId="77777777" w:rsidR="001A4587" w:rsidRPr="00A53E6D" w:rsidRDefault="001A4587" w:rsidP="00024BD3">
      <w:pPr>
        <w:pStyle w:val="BodyText"/>
        <w:jc w:val="both"/>
        <w:rPr>
          <w:rFonts w:cs="Arial"/>
        </w:rPr>
      </w:pPr>
    </w:p>
    <w:p w14:paraId="4FA4BB7C" w14:textId="77777777" w:rsidR="000B32A6" w:rsidRDefault="000B32A6" w:rsidP="00024BD3">
      <w:pPr>
        <w:pStyle w:val="BodyText"/>
        <w:jc w:val="both"/>
        <w:rPr>
          <w:rFonts w:cs="Arial"/>
        </w:rPr>
      </w:pPr>
      <w:r>
        <w:rPr>
          <w:rFonts w:cs="Arial"/>
        </w:rPr>
        <w:t xml:space="preserve">Per </w:t>
      </w:r>
      <w:hyperlink r:id="rId13" w:history="1">
        <w:r w:rsidR="004B1DF0" w:rsidRPr="00A53E6D">
          <w:rPr>
            <w:rStyle w:val="Hyperlink"/>
            <w:rFonts w:cs="Arial"/>
          </w:rPr>
          <w:t>RCW 43.19.646</w:t>
        </w:r>
      </w:hyperlink>
      <w:r>
        <w:rPr>
          <w:rFonts w:cs="Arial"/>
        </w:rPr>
        <w:t>,</w:t>
      </w:r>
      <w:r w:rsidR="004B1DF0" w:rsidRPr="00A53E6D">
        <w:rPr>
          <w:rFonts w:cs="Arial"/>
        </w:rPr>
        <w:t xml:space="preserve"> the </w:t>
      </w:r>
      <w:r w:rsidR="005A525D">
        <w:rPr>
          <w:rFonts w:cs="Arial"/>
        </w:rPr>
        <w:t xml:space="preserve">Washington </w:t>
      </w:r>
      <w:r w:rsidR="0049127A">
        <w:rPr>
          <w:rFonts w:cs="Arial"/>
        </w:rPr>
        <w:t xml:space="preserve">State </w:t>
      </w:r>
      <w:r w:rsidR="004B1DF0" w:rsidRPr="00A53E6D">
        <w:rPr>
          <w:rFonts w:cs="Arial"/>
        </w:rPr>
        <w:t xml:space="preserve">Department of Enterprise Services (DES) </w:t>
      </w:r>
      <w:r>
        <w:rPr>
          <w:rFonts w:cs="Arial"/>
        </w:rPr>
        <w:t xml:space="preserve">is </w:t>
      </w:r>
      <w:r w:rsidR="004B1DF0" w:rsidRPr="00A53E6D">
        <w:rPr>
          <w:rFonts w:cs="Arial"/>
        </w:rPr>
        <w:t xml:space="preserve">to </w:t>
      </w:r>
      <w:r>
        <w:rPr>
          <w:rFonts w:cs="Arial"/>
        </w:rPr>
        <w:t xml:space="preserve">collaborate with </w:t>
      </w:r>
      <w:r w:rsidRPr="00A53E6D">
        <w:rPr>
          <w:rFonts w:cs="Arial"/>
        </w:rPr>
        <w:t xml:space="preserve">key state agency stakeholders </w:t>
      </w:r>
      <w:r>
        <w:rPr>
          <w:rFonts w:cs="Arial"/>
        </w:rPr>
        <w:t xml:space="preserve">to </w:t>
      </w:r>
      <w:r w:rsidR="004B1DF0" w:rsidRPr="00A53E6D">
        <w:rPr>
          <w:rFonts w:cs="Arial"/>
        </w:rPr>
        <w:t xml:space="preserve">compile and analyze the use of biodiesel fuel by state agencies </w:t>
      </w:r>
      <w:r>
        <w:rPr>
          <w:rFonts w:cs="Arial"/>
        </w:rPr>
        <w:t xml:space="preserve">as required </w:t>
      </w:r>
      <w:r w:rsidRPr="0049127A">
        <w:rPr>
          <w:rFonts w:cs="Arial"/>
        </w:rPr>
        <w:t xml:space="preserve">by </w:t>
      </w:r>
      <w:hyperlink r:id="rId14" w:history="1">
        <w:r w:rsidRPr="0049127A">
          <w:rPr>
            <w:rStyle w:val="Hyperlink"/>
            <w:rFonts w:cs="Arial"/>
          </w:rPr>
          <w:t>RCW 43.19.642</w:t>
        </w:r>
      </w:hyperlink>
      <w:r w:rsidRPr="0049127A">
        <w:rPr>
          <w:rStyle w:val="Hyperlink"/>
          <w:rFonts w:cs="Arial"/>
          <w:u w:val="none"/>
        </w:rPr>
        <w:t xml:space="preserve">, </w:t>
      </w:r>
      <w:r w:rsidR="004B1DF0" w:rsidRPr="0049127A">
        <w:rPr>
          <w:rFonts w:cs="Arial"/>
        </w:rPr>
        <w:t>and</w:t>
      </w:r>
      <w:r w:rsidR="004B1DF0" w:rsidRPr="00993A1F">
        <w:rPr>
          <w:rFonts w:cs="Arial"/>
        </w:rPr>
        <w:t xml:space="preserve"> report findings and recommendations to the Governor and Legislature in an electronic</w:t>
      </w:r>
      <w:r w:rsidR="004B1DF0" w:rsidRPr="00A53E6D">
        <w:rPr>
          <w:rFonts w:cs="Arial"/>
        </w:rPr>
        <w:t xml:space="preserve"> format</w:t>
      </w:r>
      <w:r w:rsidR="00EF61DB" w:rsidRPr="00A53E6D">
        <w:rPr>
          <w:rFonts w:cs="Arial"/>
        </w:rPr>
        <w:t>.</w:t>
      </w:r>
      <w:r w:rsidR="00936D64" w:rsidRPr="00A53E6D">
        <w:rPr>
          <w:rFonts w:cs="Arial"/>
        </w:rPr>
        <w:t xml:space="preserve"> </w:t>
      </w:r>
      <w:r w:rsidR="00EF61DB" w:rsidRPr="00A53E6D">
        <w:rPr>
          <w:rFonts w:cs="Arial"/>
        </w:rPr>
        <w:t xml:space="preserve">For </w:t>
      </w:r>
      <w:r w:rsidR="00DE3488" w:rsidRPr="00A53E6D">
        <w:rPr>
          <w:rFonts w:cs="Arial"/>
        </w:rPr>
        <w:t>nine</w:t>
      </w:r>
      <w:r w:rsidR="00EF61DB" w:rsidRPr="00A53E6D">
        <w:rPr>
          <w:rFonts w:cs="Arial"/>
        </w:rPr>
        <w:t xml:space="preserve"> years</w:t>
      </w:r>
      <w:r w:rsidR="00DE3488" w:rsidRPr="00A53E6D">
        <w:rPr>
          <w:rFonts w:cs="Arial"/>
        </w:rPr>
        <w:t>,</w:t>
      </w:r>
      <w:r w:rsidR="00EF61DB" w:rsidRPr="00A53E6D">
        <w:rPr>
          <w:rFonts w:cs="Arial"/>
        </w:rPr>
        <w:t xml:space="preserve"> these reports were required </w:t>
      </w:r>
      <w:r w:rsidR="004B1DF0" w:rsidRPr="00A53E6D">
        <w:rPr>
          <w:rFonts w:cs="Arial"/>
        </w:rPr>
        <w:t>every six months</w:t>
      </w:r>
      <w:r w:rsidR="00057319">
        <w:rPr>
          <w:rFonts w:cs="Arial"/>
        </w:rPr>
        <w:t>.</w:t>
      </w:r>
      <w:r w:rsidR="00EF61DB" w:rsidRPr="00A53E6D">
        <w:rPr>
          <w:rFonts w:cs="Arial"/>
        </w:rPr>
        <w:t xml:space="preserve"> </w:t>
      </w:r>
      <w:r w:rsidR="00057319">
        <w:rPr>
          <w:rFonts w:cs="Arial"/>
        </w:rPr>
        <w:t>I</w:t>
      </w:r>
      <w:r w:rsidR="00DE3488" w:rsidRPr="00A53E6D">
        <w:rPr>
          <w:rFonts w:cs="Arial"/>
        </w:rPr>
        <w:t>n</w:t>
      </w:r>
      <w:r w:rsidR="00EF61DB" w:rsidRPr="00A53E6D">
        <w:rPr>
          <w:rFonts w:cs="Arial"/>
        </w:rPr>
        <w:t xml:space="preserve"> 2016, the </w:t>
      </w:r>
      <w:r w:rsidR="00057319">
        <w:rPr>
          <w:rFonts w:cs="Arial"/>
        </w:rPr>
        <w:t>L</w:t>
      </w:r>
      <w:r w:rsidR="00EF61DB" w:rsidRPr="00A53E6D">
        <w:rPr>
          <w:rFonts w:cs="Arial"/>
        </w:rPr>
        <w:t>egislature</w:t>
      </w:r>
      <w:r>
        <w:rPr>
          <w:rFonts w:cs="Arial"/>
        </w:rPr>
        <w:t xml:space="preserve"> </w:t>
      </w:r>
      <w:r w:rsidR="00F9497E">
        <w:rPr>
          <w:rFonts w:cs="Arial"/>
        </w:rPr>
        <w:t>chang</w:t>
      </w:r>
      <w:r>
        <w:rPr>
          <w:rFonts w:cs="Arial"/>
        </w:rPr>
        <w:t>ed</w:t>
      </w:r>
      <w:r w:rsidR="00F9497E">
        <w:rPr>
          <w:rFonts w:cs="Arial"/>
        </w:rPr>
        <w:t xml:space="preserve"> the frequency of the report to an annual requirement.</w:t>
      </w:r>
    </w:p>
    <w:p w14:paraId="7DB96ED1" w14:textId="77777777" w:rsidR="00DB5CA2" w:rsidRDefault="00DB5CA2" w:rsidP="00024BD3">
      <w:pPr>
        <w:pStyle w:val="BodyText"/>
        <w:jc w:val="both"/>
        <w:rPr>
          <w:rFonts w:cs="Arial"/>
        </w:rPr>
      </w:pPr>
    </w:p>
    <w:p w14:paraId="4DDD41E9" w14:textId="77777777" w:rsidR="003A3338" w:rsidRDefault="00792ED5" w:rsidP="00024BD3">
      <w:pPr>
        <w:pStyle w:val="BodyText"/>
        <w:jc w:val="both"/>
        <w:rPr>
          <w:rFonts w:cs="Arial"/>
        </w:rPr>
      </w:pPr>
      <w:r>
        <w:rPr>
          <w:rFonts w:cs="Arial"/>
        </w:rPr>
        <w:t xml:space="preserve">Previous reports attempted to </w:t>
      </w:r>
      <w:r w:rsidR="005218D2">
        <w:rPr>
          <w:rFonts w:cs="Arial"/>
        </w:rPr>
        <w:t>determine whether</w:t>
      </w:r>
      <w:r>
        <w:rPr>
          <w:rFonts w:cs="Arial"/>
        </w:rPr>
        <w:t xml:space="preserve"> diesel and biodiesel procurement by agencies was intended </w:t>
      </w:r>
      <w:r w:rsidR="00D37744">
        <w:rPr>
          <w:rFonts w:cs="Arial"/>
        </w:rPr>
        <w:t xml:space="preserve">for transportation purposes, </w:t>
      </w:r>
      <w:r>
        <w:rPr>
          <w:rFonts w:cs="Arial"/>
        </w:rPr>
        <w:t>facility energy needs</w:t>
      </w:r>
      <w:r w:rsidR="00D37744">
        <w:rPr>
          <w:rFonts w:cs="Arial"/>
        </w:rPr>
        <w:t>, or both</w:t>
      </w:r>
      <w:r>
        <w:rPr>
          <w:rFonts w:cs="Arial"/>
        </w:rPr>
        <w:t xml:space="preserve">. </w:t>
      </w:r>
      <w:r w:rsidR="005218D2">
        <w:rPr>
          <w:rFonts w:cs="Arial"/>
        </w:rPr>
        <w:t>Given the expanding policy framework around public sector use of fossil fuels, this report now includes all procurement of diesel-related fuels.</w:t>
      </w:r>
    </w:p>
    <w:p w14:paraId="3C365665" w14:textId="77777777" w:rsidR="00F81173" w:rsidRDefault="00F81173" w:rsidP="00024BD3">
      <w:pPr>
        <w:pStyle w:val="BodyText"/>
        <w:jc w:val="both"/>
        <w:rPr>
          <w:rFonts w:cs="Arial"/>
        </w:rPr>
      </w:pPr>
    </w:p>
    <w:p w14:paraId="0B9D36DD" w14:textId="602ECF91" w:rsidR="00D2412A" w:rsidRPr="00A53E6D" w:rsidRDefault="00C229C7" w:rsidP="00024BD3">
      <w:pPr>
        <w:pStyle w:val="BodyText"/>
        <w:jc w:val="both"/>
        <w:rPr>
          <w:rFonts w:cs="Arial"/>
        </w:rPr>
      </w:pPr>
      <w:r>
        <w:rPr>
          <w:rFonts w:cs="Arial"/>
        </w:rPr>
        <w:t>Renewable</w:t>
      </w:r>
      <w:r w:rsidR="00F81173">
        <w:rPr>
          <w:rFonts w:cs="Arial"/>
        </w:rPr>
        <w:t xml:space="preserve"> diesel is a fuel made from </w:t>
      </w:r>
      <w:r>
        <w:rPr>
          <w:rFonts w:cs="Arial"/>
        </w:rPr>
        <w:t xml:space="preserve">the same </w:t>
      </w:r>
      <w:r w:rsidR="00F81173">
        <w:rPr>
          <w:rFonts w:cs="Arial"/>
        </w:rPr>
        <w:t xml:space="preserve">biogenic feedstocks </w:t>
      </w:r>
      <w:r>
        <w:rPr>
          <w:rFonts w:cs="Arial"/>
        </w:rPr>
        <w:t xml:space="preserve">as biodiesel that is refined </w:t>
      </w:r>
      <w:r w:rsidR="00F81173">
        <w:rPr>
          <w:rFonts w:cs="Arial"/>
        </w:rPr>
        <w:t xml:space="preserve">to be chemically equivalent to petroleum diesel. </w:t>
      </w:r>
      <w:r w:rsidR="009F68DE">
        <w:rPr>
          <w:rFonts w:cs="Arial"/>
        </w:rPr>
        <w:t xml:space="preserve">The University </w:t>
      </w:r>
      <w:r w:rsidR="00D24052">
        <w:rPr>
          <w:rFonts w:cs="Arial"/>
        </w:rPr>
        <w:t>of</w:t>
      </w:r>
      <w:r w:rsidR="009F68DE">
        <w:rPr>
          <w:rFonts w:cs="Arial"/>
        </w:rPr>
        <w:t xml:space="preserve"> Washington </w:t>
      </w:r>
      <w:r w:rsidR="00824DB4">
        <w:rPr>
          <w:rFonts w:cs="Arial"/>
        </w:rPr>
        <w:t xml:space="preserve">(UW) </w:t>
      </w:r>
      <w:r w:rsidR="009F68DE">
        <w:rPr>
          <w:rFonts w:cs="Arial"/>
        </w:rPr>
        <w:t>was the only agency to procure both r</w:t>
      </w:r>
      <w:r w:rsidR="00F81173">
        <w:rPr>
          <w:rFonts w:cs="Arial"/>
        </w:rPr>
        <w:t>enewable diesel</w:t>
      </w:r>
      <w:r w:rsidR="009F68DE">
        <w:rPr>
          <w:rFonts w:cs="Arial"/>
        </w:rPr>
        <w:t xml:space="preserve"> and blends of</w:t>
      </w:r>
      <w:r w:rsidR="00F81173">
        <w:rPr>
          <w:rFonts w:cs="Arial"/>
        </w:rPr>
        <w:t xml:space="preserve"> </w:t>
      </w:r>
      <w:r w:rsidR="009F68DE">
        <w:rPr>
          <w:rFonts w:cs="Arial"/>
        </w:rPr>
        <w:t xml:space="preserve">renewable diesel and biodiesel. UW’s </w:t>
      </w:r>
      <w:r w:rsidR="00D24052">
        <w:rPr>
          <w:rFonts w:cs="Arial"/>
        </w:rPr>
        <w:t>motor pool</w:t>
      </w:r>
      <w:r w:rsidR="009F68DE">
        <w:rPr>
          <w:rFonts w:cs="Arial"/>
        </w:rPr>
        <w:t xml:space="preserve"> purchases beginning in the fourth quarter of 2019</w:t>
      </w:r>
      <w:r w:rsidR="00F965A4">
        <w:rPr>
          <w:rFonts w:cs="Arial"/>
        </w:rPr>
        <w:t xml:space="preserve"> were the first by an agency.</w:t>
      </w:r>
      <w:r w:rsidR="00143FA0">
        <w:rPr>
          <w:rFonts w:cs="Arial"/>
        </w:rPr>
        <w:t xml:space="preserve"> </w:t>
      </w:r>
      <w:r w:rsidR="004013D4">
        <w:rPr>
          <w:rFonts w:cs="Arial"/>
        </w:rPr>
        <w:t>Renewable diesel is well</w:t>
      </w:r>
      <w:r>
        <w:rPr>
          <w:rFonts w:cs="Arial"/>
        </w:rPr>
        <w:t>-</w:t>
      </w:r>
      <w:r w:rsidR="004013D4">
        <w:rPr>
          <w:rFonts w:cs="Arial"/>
        </w:rPr>
        <w:t xml:space="preserve">known for reducing emissions and is consistent with the </w:t>
      </w:r>
      <w:r w:rsidR="00F965A4">
        <w:rPr>
          <w:rFonts w:cs="Arial"/>
        </w:rPr>
        <w:t xml:space="preserve">policy goals cited above. </w:t>
      </w:r>
      <w:r w:rsidR="004013D4">
        <w:rPr>
          <w:rFonts w:cs="Arial"/>
        </w:rPr>
        <w:t xml:space="preserve">If agencies choose to purchase renewable in the future, it will </w:t>
      </w:r>
      <w:r w:rsidR="00604B8E">
        <w:rPr>
          <w:rFonts w:cs="Arial"/>
        </w:rPr>
        <w:t xml:space="preserve">be </w:t>
      </w:r>
      <w:r w:rsidR="00F965A4">
        <w:rPr>
          <w:rFonts w:cs="Arial"/>
        </w:rPr>
        <w:t xml:space="preserve">considered “biodiesel” for the purposes of this report. </w:t>
      </w:r>
    </w:p>
    <w:p w14:paraId="294E6B6B" w14:textId="77777777" w:rsidR="004B1DF0" w:rsidRPr="00A53E6D" w:rsidRDefault="005C557A" w:rsidP="00024BD3">
      <w:pPr>
        <w:pStyle w:val="Heading1"/>
        <w:jc w:val="both"/>
        <w:rPr>
          <w:rFonts w:cs="Arial"/>
        </w:rPr>
      </w:pPr>
      <w:r w:rsidRPr="00A53E6D">
        <w:rPr>
          <w:rFonts w:cs="Arial"/>
        </w:rPr>
        <w:t xml:space="preserve">State Biodiesel </w:t>
      </w:r>
      <w:r w:rsidRPr="00A53E6D">
        <w:rPr>
          <w:rFonts w:cs="Arial"/>
          <w:spacing w:val="-2"/>
        </w:rPr>
        <w:t>Purchases</w:t>
      </w:r>
    </w:p>
    <w:p w14:paraId="407BA503" w14:textId="77777777" w:rsidR="004B1DF0" w:rsidRPr="00A53E6D" w:rsidRDefault="004B1DF0" w:rsidP="00024BD3">
      <w:pPr>
        <w:pStyle w:val="BodyText"/>
        <w:jc w:val="both"/>
        <w:rPr>
          <w:rFonts w:cs="Arial"/>
        </w:rPr>
      </w:pPr>
      <w:r w:rsidRPr="00A53E6D">
        <w:rPr>
          <w:rFonts w:cs="Arial"/>
        </w:rPr>
        <w:t xml:space="preserve">State agencies are required to purchase bulk fuel through state fuel </w:t>
      </w:r>
      <w:r w:rsidR="00825BB1" w:rsidRPr="00A53E6D">
        <w:rPr>
          <w:rFonts w:cs="Arial"/>
        </w:rPr>
        <w:t>contracts that</w:t>
      </w:r>
      <w:r w:rsidRPr="00A53E6D">
        <w:rPr>
          <w:rFonts w:cs="Arial"/>
        </w:rPr>
        <w:t xml:space="preserve"> cover gasoline, heating oil, and diesel (including biodiesel). </w:t>
      </w:r>
      <w:r w:rsidR="002D2602" w:rsidRPr="00A53E6D">
        <w:rPr>
          <w:rFonts w:cs="Arial"/>
        </w:rPr>
        <w:t xml:space="preserve">Many </w:t>
      </w:r>
      <w:r w:rsidR="00961DDA" w:rsidRPr="00A53E6D">
        <w:rPr>
          <w:rFonts w:cs="Arial"/>
        </w:rPr>
        <w:t>cities, counties, school districts</w:t>
      </w:r>
      <w:r w:rsidR="00824DB4">
        <w:rPr>
          <w:rFonts w:cs="Arial"/>
        </w:rPr>
        <w:t>,</w:t>
      </w:r>
      <w:r w:rsidR="00961DDA">
        <w:rPr>
          <w:rFonts w:cs="Arial"/>
        </w:rPr>
        <w:t xml:space="preserve"> </w:t>
      </w:r>
      <w:r w:rsidR="002D2602" w:rsidRPr="00A53E6D">
        <w:rPr>
          <w:rFonts w:cs="Arial"/>
        </w:rPr>
        <w:t>higher education</w:t>
      </w:r>
      <w:r w:rsidR="00EC569C">
        <w:rPr>
          <w:rFonts w:cs="Arial"/>
        </w:rPr>
        <w:t xml:space="preserve"> institutions</w:t>
      </w:r>
      <w:r w:rsidR="002D2602" w:rsidRPr="00A53E6D">
        <w:rPr>
          <w:rFonts w:cs="Arial"/>
        </w:rPr>
        <w:t xml:space="preserve">, </w:t>
      </w:r>
      <w:r w:rsidR="00961DDA">
        <w:rPr>
          <w:rFonts w:cs="Arial"/>
        </w:rPr>
        <w:t xml:space="preserve">and </w:t>
      </w:r>
      <w:r w:rsidR="002D2602" w:rsidRPr="00A53E6D">
        <w:rPr>
          <w:rFonts w:cs="Arial"/>
        </w:rPr>
        <w:t>transit systems also use the contracts</w:t>
      </w:r>
      <w:r w:rsidRPr="00A53E6D">
        <w:rPr>
          <w:rFonts w:cs="Arial"/>
        </w:rPr>
        <w:t>.</w:t>
      </w:r>
      <w:r w:rsidR="008113AA">
        <w:rPr>
          <w:rFonts w:cs="Arial"/>
        </w:rPr>
        <w:t xml:space="preserve"> </w:t>
      </w:r>
      <w:r w:rsidR="00B329F9" w:rsidRPr="00A53E6D">
        <w:rPr>
          <w:rFonts w:cs="Arial"/>
        </w:rPr>
        <w:t xml:space="preserve">In </w:t>
      </w:r>
      <w:r w:rsidR="00BF6B3A" w:rsidRPr="00A53E6D">
        <w:rPr>
          <w:rFonts w:cs="Arial"/>
        </w:rPr>
        <w:t>20</w:t>
      </w:r>
      <w:r w:rsidR="00BF6B3A">
        <w:rPr>
          <w:rFonts w:cs="Arial"/>
        </w:rPr>
        <w:t>20</w:t>
      </w:r>
      <w:r w:rsidRPr="00A53E6D">
        <w:rPr>
          <w:rFonts w:cs="Arial"/>
        </w:rPr>
        <w:t xml:space="preserve">, state agencies and </w:t>
      </w:r>
      <w:r w:rsidR="00961DDA">
        <w:rPr>
          <w:rFonts w:cs="Arial"/>
        </w:rPr>
        <w:t>universities</w:t>
      </w:r>
      <w:r w:rsidRPr="00A53E6D">
        <w:rPr>
          <w:rFonts w:cs="Arial"/>
        </w:rPr>
        <w:t xml:space="preserve"> purchased </w:t>
      </w:r>
      <w:r w:rsidR="00FC3A6D">
        <w:rPr>
          <w:rFonts w:cs="Arial"/>
        </w:rPr>
        <w:t>16.6</w:t>
      </w:r>
      <w:r w:rsidR="00824DB4">
        <w:rPr>
          <w:rFonts w:cs="Arial"/>
        </w:rPr>
        <w:t xml:space="preserve"> </w:t>
      </w:r>
      <w:r w:rsidRPr="00A53E6D">
        <w:rPr>
          <w:rFonts w:cs="Arial"/>
        </w:rPr>
        <w:t>million gallons of diese</w:t>
      </w:r>
      <w:r w:rsidR="003A3338">
        <w:rPr>
          <w:rFonts w:cs="Arial"/>
        </w:rPr>
        <w:t>l</w:t>
      </w:r>
      <w:r w:rsidR="007A3F86">
        <w:rPr>
          <w:rFonts w:cs="Arial"/>
        </w:rPr>
        <w:t xml:space="preserve"> fuel</w:t>
      </w:r>
      <w:r w:rsidRPr="00A53E6D">
        <w:rPr>
          <w:rFonts w:cs="Arial"/>
        </w:rPr>
        <w:t>, including</w:t>
      </w:r>
      <w:r w:rsidR="009F6C1A">
        <w:rPr>
          <w:rFonts w:cs="Arial"/>
        </w:rPr>
        <w:t xml:space="preserve"> 1</w:t>
      </w:r>
      <w:r w:rsidR="00E86D25">
        <w:rPr>
          <w:rFonts w:cs="Arial"/>
        </w:rPr>
        <w:t>.</w:t>
      </w:r>
      <w:r w:rsidR="00FC3A6D">
        <w:rPr>
          <w:rFonts w:cs="Arial"/>
        </w:rPr>
        <w:t>7</w:t>
      </w:r>
      <w:r w:rsidR="00824DB4">
        <w:rPr>
          <w:rFonts w:cs="Arial"/>
        </w:rPr>
        <w:t xml:space="preserve"> </w:t>
      </w:r>
      <w:r w:rsidR="00B329F9" w:rsidRPr="00A53E6D">
        <w:rPr>
          <w:rFonts w:cs="Arial"/>
        </w:rPr>
        <w:t>million</w:t>
      </w:r>
      <w:r w:rsidRPr="00A53E6D">
        <w:rPr>
          <w:rFonts w:cs="Arial"/>
        </w:rPr>
        <w:t xml:space="preserve"> gallons of biodiesel.</w:t>
      </w:r>
    </w:p>
    <w:p w14:paraId="62764652" w14:textId="77777777" w:rsidR="004B1DF0" w:rsidRPr="00A53E6D" w:rsidRDefault="004B1DF0" w:rsidP="00024BD3">
      <w:pPr>
        <w:pStyle w:val="BodyText"/>
        <w:jc w:val="both"/>
        <w:rPr>
          <w:rFonts w:cs="Arial"/>
        </w:rPr>
      </w:pPr>
    </w:p>
    <w:p w14:paraId="6E7496A5" w14:textId="77777777" w:rsidR="00B178CC" w:rsidRDefault="00464415" w:rsidP="00024BD3">
      <w:pPr>
        <w:pStyle w:val="BodyText"/>
        <w:jc w:val="both"/>
        <w:rPr>
          <w:rFonts w:cs="Arial"/>
        </w:rPr>
      </w:pPr>
      <w:r w:rsidRPr="00A53E6D">
        <w:rPr>
          <w:rFonts w:cs="Arial"/>
        </w:rPr>
        <w:t xml:space="preserve">As the largest consumer of diesel among state agencies, </w:t>
      </w:r>
      <w:r w:rsidR="00656504" w:rsidRPr="00A53E6D">
        <w:rPr>
          <w:rFonts w:cs="Arial"/>
        </w:rPr>
        <w:t>WSF account</w:t>
      </w:r>
      <w:r w:rsidR="00656504">
        <w:rPr>
          <w:rFonts w:cs="Arial"/>
        </w:rPr>
        <w:t>ed</w:t>
      </w:r>
      <w:r w:rsidR="00656504" w:rsidRPr="00A53E6D">
        <w:rPr>
          <w:rFonts w:cs="Arial"/>
        </w:rPr>
        <w:t xml:space="preserve"> for </w:t>
      </w:r>
      <w:r w:rsidR="00143FA0">
        <w:rPr>
          <w:rFonts w:cs="Arial"/>
        </w:rPr>
        <w:t>8</w:t>
      </w:r>
      <w:r w:rsidR="00D24052">
        <w:rPr>
          <w:rFonts w:cs="Arial"/>
        </w:rPr>
        <w:t>1</w:t>
      </w:r>
      <w:r w:rsidR="00292F2C">
        <w:rPr>
          <w:rFonts w:cs="Arial"/>
        </w:rPr>
        <w:t>%</w:t>
      </w:r>
      <w:r w:rsidR="00656504" w:rsidRPr="00A53E6D">
        <w:rPr>
          <w:rFonts w:cs="Arial"/>
        </w:rPr>
        <w:t xml:space="preserve"> of </w:t>
      </w:r>
      <w:r w:rsidR="00143FA0">
        <w:rPr>
          <w:rFonts w:cs="Arial"/>
        </w:rPr>
        <w:t>fuel</w:t>
      </w:r>
      <w:r w:rsidR="00656504" w:rsidRPr="00A53E6D">
        <w:rPr>
          <w:rFonts w:cs="Arial"/>
        </w:rPr>
        <w:t xml:space="preserve"> </w:t>
      </w:r>
      <w:r w:rsidR="00656504">
        <w:rPr>
          <w:rFonts w:cs="Arial"/>
        </w:rPr>
        <w:t>purchases</w:t>
      </w:r>
      <w:r w:rsidR="00143FA0">
        <w:rPr>
          <w:rFonts w:cs="Arial"/>
        </w:rPr>
        <w:t>, including</w:t>
      </w:r>
      <w:r w:rsidR="00656504">
        <w:rPr>
          <w:rFonts w:cs="Arial"/>
        </w:rPr>
        <w:t xml:space="preserve"> </w:t>
      </w:r>
      <w:r w:rsidR="008113AA">
        <w:rPr>
          <w:rFonts w:cs="Arial"/>
        </w:rPr>
        <w:t>8</w:t>
      </w:r>
      <w:r w:rsidR="00D24052">
        <w:rPr>
          <w:rFonts w:cs="Arial"/>
        </w:rPr>
        <w:t>3</w:t>
      </w:r>
      <w:r w:rsidR="00292F2C">
        <w:rPr>
          <w:rFonts w:cs="Arial"/>
        </w:rPr>
        <w:t>%</w:t>
      </w:r>
      <w:r w:rsidR="00656504" w:rsidRPr="00A53E6D">
        <w:rPr>
          <w:rFonts w:cs="Arial"/>
        </w:rPr>
        <w:t xml:space="preserve"> of biodiesel </w:t>
      </w:r>
      <w:r w:rsidR="00656504">
        <w:rPr>
          <w:rFonts w:cs="Arial"/>
        </w:rPr>
        <w:t xml:space="preserve">purchases. </w:t>
      </w:r>
      <w:r w:rsidR="004B1DF0" w:rsidRPr="00A53E6D">
        <w:rPr>
          <w:rFonts w:cs="Arial"/>
        </w:rPr>
        <w:t>WS</w:t>
      </w:r>
      <w:r w:rsidR="003E18E6" w:rsidRPr="00A53E6D">
        <w:rPr>
          <w:rFonts w:cs="Arial"/>
        </w:rPr>
        <w:t>DOT</w:t>
      </w:r>
      <w:r w:rsidR="004B1DF0" w:rsidRPr="00A53E6D">
        <w:rPr>
          <w:rFonts w:cs="Arial"/>
        </w:rPr>
        <w:t xml:space="preserve"> </w:t>
      </w:r>
      <w:r w:rsidR="00EF5233">
        <w:rPr>
          <w:rFonts w:cs="Arial"/>
        </w:rPr>
        <w:t>accounted for</w:t>
      </w:r>
      <w:r w:rsidR="00EF5233" w:rsidRPr="00A53E6D">
        <w:rPr>
          <w:rFonts w:cs="Arial"/>
        </w:rPr>
        <w:t xml:space="preserve"> </w:t>
      </w:r>
      <w:r w:rsidR="00143FA0">
        <w:rPr>
          <w:rFonts w:cs="Arial"/>
        </w:rPr>
        <w:t xml:space="preserve">another </w:t>
      </w:r>
      <w:r w:rsidR="00D24052">
        <w:rPr>
          <w:rFonts w:cs="Arial"/>
        </w:rPr>
        <w:t>12</w:t>
      </w:r>
      <w:r w:rsidR="00292F2C">
        <w:rPr>
          <w:rFonts w:cs="Arial"/>
        </w:rPr>
        <w:t>%</w:t>
      </w:r>
      <w:r w:rsidR="004B1DF0" w:rsidRPr="00A53E6D">
        <w:rPr>
          <w:rFonts w:cs="Arial"/>
        </w:rPr>
        <w:t xml:space="preserve"> of </w:t>
      </w:r>
      <w:r w:rsidR="00143FA0">
        <w:rPr>
          <w:rFonts w:cs="Arial"/>
        </w:rPr>
        <w:t>fuel</w:t>
      </w:r>
      <w:r w:rsidR="004B1DF0" w:rsidRPr="00A53E6D">
        <w:rPr>
          <w:rFonts w:cs="Arial"/>
        </w:rPr>
        <w:t xml:space="preserve"> </w:t>
      </w:r>
      <w:r w:rsidR="00656504">
        <w:rPr>
          <w:rFonts w:cs="Arial"/>
        </w:rPr>
        <w:t>purchases</w:t>
      </w:r>
      <w:r w:rsidR="00143FA0">
        <w:rPr>
          <w:rFonts w:cs="Arial"/>
        </w:rPr>
        <w:t xml:space="preserve">, including </w:t>
      </w:r>
      <w:r w:rsidR="00D24052">
        <w:rPr>
          <w:rFonts w:cs="Arial"/>
        </w:rPr>
        <w:t>16</w:t>
      </w:r>
      <w:r w:rsidR="00292F2C">
        <w:rPr>
          <w:rFonts w:cs="Arial"/>
        </w:rPr>
        <w:t>%</w:t>
      </w:r>
      <w:r w:rsidR="004B1DF0" w:rsidRPr="00A53E6D">
        <w:rPr>
          <w:rFonts w:cs="Arial"/>
        </w:rPr>
        <w:t xml:space="preserve"> of biodiesel </w:t>
      </w:r>
      <w:r w:rsidR="00ED2299" w:rsidRPr="00A53E6D">
        <w:rPr>
          <w:rFonts w:cs="Arial"/>
        </w:rPr>
        <w:t xml:space="preserve">purchases. </w:t>
      </w:r>
      <w:r w:rsidR="001E1585" w:rsidRPr="00A53E6D">
        <w:rPr>
          <w:rFonts w:cs="Arial"/>
        </w:rPr>
        <w:t xml:space="preserve">Other </w:t>
      </w:r>
      <w:r w:rsidR="004B1DF0" w:rsidRPr="00A53E6D">
        <w:rPr>
          <w:rFonts w:cs="Arial"/>
        </w:rPr>
        <w:t xml:space="preserve">agencies </w:t>
      </w:r>
      <w:r w:rsidR="00656504">
        <w:rPr>
          <w:rFonts w:cs="Arial"/>
        </w:rPr>
        <w:t xml:space="preserve">and universities accounted for the balance of </w:t>
      </w:r>
      <w:r w:rsidR="00D24052">
        <w:rPr>
          <w:rFonts w:cs="Arial"/>
        </w:rPr>
        <w:t>7</w:t>
      </w:r>
      <w:r w:rsidR="00292F2C">
        <w:rPr>
          <w:rFonts w:cs="Arial"/>
        </w:rPr>
        <w:t>%</w:t>
      </w:r>
      <w:r w:rsidR="004B1DF0" w:rsidRPr="00A53E6D">
        <w:rPr>
          <w:rFonts w:cs="Arial"/>
        </w:rPr>
        <w:t xml:space="preserve"> of </w:t>
      </w:r>
      <w:r w:rsidR="00143FA0">
        <w:rPr>
          <w:rFonts w:cs="Arial"/>
        </w:rPr>
        <w:t>fuel</w:t>
      </w:r>
      <w:r w:rsidRPr="00A53E6D">
        <w:rPr>
          <w:rFonts w:cs="Arial"/>
        </w:rPr>
        <w:t xml:space="preserve"> </w:t>
      </w:r>
      <w:r w:rsidR="004B1DF0" w:rsidRPr="00A53E6D">
        <w:rPr>
          <w:rFonts w:cs="Arial"/>
        </w:rPr>
        <w:t>purchase</w:t>
      </w:r>
      <w:r w:rsidR="00656504">
        <w:rPr>
          <w:rFonts w:cs="Arial"/>
        </w:rPr>
        <w:t>s</w:t>
      </w:r>
      <w:r w:rsidR="00143FA0">
        <w:rPr>
          <w:rFonts w:cs="Arial"/>
        </w:rPr>
        <w:t>,</w:t>
      </w:r>
      <w:r w:rsidR="004B1DF0" w:rsidRPr="00A53E6D">
        <w:rPr>
          <w:rFonts w:cs="Arial"/>
        </w:rPr>
        <w:t xml:space="preserve"> </w:t>
      </w:r>
      <w:r w:rsidR="00143FA0">
        <w:rPr>
          <w:rFonts w:cs="Arial"/>
        </w:rPr>
        <w:t>including</w:t>
      </w:r>
      <w:r w:rsidR="00942C7B">
        <w:rPr>
          <w:rFonts w:cs="Arial"/>
        </w:rPr>
        <w:t xml:space="preserve"> </w:t>
      </w:r>
      <w:r w:rsidR="00D6305D">
        <w:rPr>
          <w:rFonts w:cs="Arial"/>
        </w:rPr>
        <w:t>1</w:t>
      </w:r>
      <w:r w:rsidR="00292F2C">
        <w:rPr>
          <w:rFonts w:cs="Arial"/>
        </w:rPr>
        <w:t>%</w:t>
      </w:r>
      <w:r w:rsidR="004B1DF0" w:rsidRPr="00A53E6D">
        <w:rPr>
          <w:rFonts w:cs="Arial"/>
        </w:rPr>
        <w:t xml:space="preserve"> of biodiesel </w:t>
      </w:r>
      <w:r w:rsidR="00656504">
        <w:rPr>
          <w:rFonts w:cs="Arial"/>
        </w:rPr>
        <w:t>purchases</w:t>
      </w:r>
      <w:r w:rsidR="004B1DF0" w:rsidRPr="00A53E6D">
        <w:rPr>
          <w:rFonts w:cs="Arial"/>
        </w:rPr>
        <w:t>.</w:t>
      </w:r>
    </w:p>
    <w:p w14:paraId="09C43680" w14:textId="77777777" w:rsidR="00B178CC" w:rsidRPr="00A53E6D" w:rsidRDefault="00B178CC" w:rsidP="00024BD3">
      <w:pPr>
        <w:pStyle w:val="BodyText"/>
        <w:jc w:val="both"/>
        <w:rPr>
          <w:rFonts w:cs="Arial"/>
        </w:rPr>
      </w:pPr>
    </w:p>
    <w:p w14:paraId="476B7809" w14:textId="77777777" w:rsidR="004B1DF0" w:rsidRPr="00A53E6D" w:rsidRDefault="000659E9" w:rsidP="00024BD3">
      <w:pPr>
        <w:pStyle w:val="BodyText"/>
        <w:jc w:val="both"/>
        <w:rPr>
          <w:rFonts w:cs="Arial"/>
        </w:rPr>
      </w:pPr>
      <w:r>
        <w:rPr>
          <w:noProof/>
        </w:rPr>
        <w:lastRenderedPageBreak/>
        <w:drawing>
          <wp:inline distT="0" distB="0" distL="0" distR="0" wp14:anchorId="6A7FAF0F" wp14:editId="6FCCE637">
            <wp:extent cx="2737315" cy="2115820"/>
            <wp:effectExtent l="0" t="0" r="6350" b="17780"/>
            <wp:docPr id="1" name="Chart 1" descr="Pie chart showing Agency Diesel Fuel Purchases for 2020. Total of 18,407,416 gallons purchased.  7% purchased by Other Agencies, 12% purchased by WSDOT, and 81% purchased by WSF."/>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54898" w:rsidDel="00C54898">
        <w:rPr>
          <w:noProof/>
        </w:rPr>
        <w:t xml:space="preserve">  </w:t>
      </w:r>
      <w:r w:rsidR="00B178CC" w:rsidRPr="00B178CC">
        <w:rPr>
          <w:noProof/>
        </w:rPr>
        <w:t xml:space="preserve"> </w:t>
      </w:r>
      <w:r>
        <w:rPr>
          <w:noProof/>
        </w:rPr>
        <w:drawing>
          <wp:inline distT="0" distB="0" distL="0" distR="0" wp14:anchorId="238C043A" wp14:editId="3FE7A1D2">
            <wp:extent cx="2744855" cy="2115820"/>
            <wp:effectExtent l="0" t="0" r="17780" b="17780"/>
            <wp:docPr id="2" name="Chart 2" descr="Agency Biodiesel Fuel Purchase for 2020. Total purchases of 1,744,875 gallons.  1% by Other Agencies, 16% by WSDOT, 83% by WSF."/>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E8B934" w14:textId="77777777" w:rsidR="004B1DF0" w:rsidRPr="00443E9A" w:rsidRDefault="005C557A" w:rsidP="00024BD3">
      <w:pPr>
        <w:pStyle w:val="Heading1"/>
        <w:jc w:val="both"/>
        <w:rPr>
          <w:rFonts w:cs="Arial"/>
          <w:smallCaps w:val="0"/>
          <w:sz w:val="24"/>
          <w:szCs w:val="24"/>
        </w:rPr>
      </w:pPr>
      <w:r w:rsidRPr="00443E9A">
        <w:rPr>
          <w:rFonts w:cs="Arial"/>
          <w:smallCaps w:val="0"/>
          <w:sz w:val="24"/>
          <w:szCs w:val="24"/>
        </w:rPr>
        <w:t>State</w:t>
      </w:r>
      <w:r w:rsidRPr="00443E9A">
        <w:rPr>
          <w:rFonts w:cs="Arial"/>
          <w:smallCaps w:val="0"/>
          <w:spacing w:val="-3"/>
          <w:sz w:val="24"/>
          <w:szCs w:val="24"/>
        </w:rPr>
        <w:t xml:space="preserve"> </w:t>
      </w:r>
      <w:r w:rsidRPr="00443E9A">
        <w:rPr>
          <w:rFonts w:cs="Arial"/>
          <w:smallCaps w:val="0"/>
          <w:sz w:val="24"/>
          <w:szCs w:val="24"/>
        </w:rPr>
        <w:t xml:space="preserve">Ferries </w:t>
      </w:r>
      <w:r w:rsidRPr="00443E9A">
        <w:rPr>
          <w:rFonts w:cs="Arial"/>
          <w:smallCaps w:val="0"/>
          <w:spacing w:val="-2"/>
          <w:sz w:val="24"/>
          <w:szCs w:val="24"/>
        </w:rPr>
        <w:t>Use</w:t>
      </w:r>
    </w:p>
    <w:p w14:paraId="7B15C1C0" w14:textId="77777777" w:rsidR="00F4254A" w:rsidRPr="003A248D" w:rsidRDefault="00F4254A" w:rsidP="00024BD3">
      <w:pPr>
        <w:pStyle w:val="BodyText"/>
        <w:jc w:val="both"/>
        <w:rPr>
          <w:rFonts w:cs="Arial"/>
        </w:rPr>
      </w:pPr>
      <w:r w:rsidRPr="003A248D">
        <w:rPr>
          <w:rFonts w:cs="Arial"/>
        </w:rPr>
        <w:t xml:space="preserve">WSF purchased </w:t>
      </w:r>
      <w:r w:rsidR="008D44E7">
        <w:rPr>
          <w:rFonts w:cs="Arial"/>
        </w:rPr>
        <w:t>1,448,102</w:t>
      </w:r>
      <w:r w:rsidRPr="003A248D">
        <w:rPr>
          <w:rFonts w:cs="Arial"/>
        </w:rPr>
        <w:t xml:space="preserve"> gallons of biodiesel during </w:t>
      </w:r>
      <w:r w:rsidR="003327BE" w:rsidRPr="003A248D">
        <w:rPr>
          <w:rFonts w:cs="Arial"/>
        </w:rPr>
        <w:t>2020</w:t>
      </w:r>
      <w:r w:rsidRPr="003A248D">
        <w:rPr>
          <w:rFonts w:cs="Arial"/>
        </w:rPr>
        <w:t xml:space="preserve">. This is a </w:t>
      </w:r>
      <w:r w:rsidR="003327BE" w:rsidRPr="003A248D">
        <w:rPr>
          <w:rFonts w:cs="Arial"/>
        </w:rPr>
        <w:t>21</w:t>
      </w:r>
      <w:r w:rsidR="00292F2C">
        <w:rPr>
          <w:rFonts w:cs="Arial"/>
        </w:rPr>
        <w:t>%</w:t>
      </w:r>
      <w:r w:rsidRPr="003A248D">
        <w:rPr>
          <w:rFonts w:cs="Arial"/>
        </w:rPr>
        <w:t xml:space="preserve"> </w:t>
      </w:r>
      <w:r w:rsidR="007F559B" w:rsidRPr="003A248D">
        <w:rPr>
          <w:rFonts w:cs="Arial"/>
        </w:rPr>
        <w:t xml:space="preserve">increase </w:t>
      </w:r>
      <w:r w:rsidRPr="003A248D">
        <w:rPr>
          <w:rFonts w:cs="Arial"/>
        </w:rPr>
        <w:t xml:space="preserve">from the </w:t>
      </w:r>
      <w:r w:rsidR="003327BE" w:rsidRPr="003A248D">
        <w:rPr>
          <w:rFonts w:cs="Arial"/>
        </w:rPr>
        <w:t>1,200,837</w:t>
      </w:r>
      <w:r w:rsidRPr="003A248D">
        <w:rPr>
          <w:rFonts w:cs="Arial"/>
        </w:rPr>
        <w:t xml:space="preserve"> gallons purchased </w:t>
      </w:r>
      <w:r w:rsidR="00F965A4" w:rsidRPr="003A248D">
        <w:rPr>
          <w:rFonts w:cs="Arial"/>
        </w:rPr>
        <w:t xml:space="preserve">in </w:t>
      </w:r>
      <w:r w:rsidR="003327BE" w:rsidRPr="003A248D">
        <w:rPr>
          <w:rFonts w:cs="Arial"/>
        </w:rPr>
        <w:t>2019</w:t>
      </w:r>
      <w:r w:rsidRPr="003A248D">
        <w:rPr>
          <w:rFonts w:cs="Arial"/>
        </w:rPr>
        <w:t xml:space="preserve">. Overall, WSF purchases averaged </w:t>
      </w:r>
      <w:r w:rsidR="003327BE" w:rsidRPr="003A248D">
        <w:rPr>
          <w:rFonts w:cs="Arial"/>
        </w:rPr>
        <w:t>9.8</w:t>
      </w:r>
      <w:r w:rsidR="00292F2C">
        <w:rPr>
          <w:rFonts w:cs="Arial"/>
        </w:rPr>
        <w:t>%</w:t>
      </w:r>
      <w:r w:rsidRPr="003A248D">
        <w:rPr>
          <w:rFonts w:cs="Arial"/>
        </w:rPr>
        <w:t xml:space="preserve"> biodiesel for </w:t>
      </w:r>
      <w:r w:rsidR="003327BE" w:rsidRPr="003A248D">
        <w:rPr>
          <w:rFonts w:cs="Arial"/>
        </w:rPr>
        <w:t>2020</w:t>
      </w:r>
      <w:r w:rsidRPr="003A248D">
        <w:rPr>
          <w:rFonts w:cs="Arial"/>
        </w:rPr>
        <w:t xml:space="preserve">, </w:t>
      </w:r>
      <w:r w:rsidR="0019346D" w:rsidRPr="003A248D">
        <w:rPr>
          <w:rFonts w:cs="Arial"/>
        </w:rPr>
        <w:t xml:space="preserve">up </w:t>
      </w:r>
      <w:r w:rsidRPr="003A248D">
        <w:rPr>
          <w:rFonts w:cs="Arial"/>
        </w:rPr>
        <w:t xml:space="preserve">from </w:t>
      </w:r>
      <w:r w:rsidR="003327BE" w:rsidRPr="003A248D">
        <w:rPr>
          <w:rFonts w:cs="Arial"/>
        </w:rPr>
        <w:t>6.4</w:t>
      </w:r>
      <w:r w:rsidRPr="003A248D">
        <w:rPr>
          <w:rFonts w:cs="Arial"/>
        </w:rPr>
        <w:t xml:space="preserve"> </w:t>
      </w:r>
      <w:r w:rsidR="00292F2C">
        <w:rPr>
          <w:rFonts w:cs="Arial"/>
        </w:rPr>
        <w:t>%</w:t>
      </w:r>
      <w:r w:rsidRPr="003A248D">
        <w:rPr>
          <w:rFonts w:cs="Arial"/>
        </w:rPr>
        <w:t xml:space="preserve"> for </w:t>
      </w:r>
      <w:r w:rsidR="003327BE" w:rsidRPr="003A248D">
        <w:rPr>
          <w:rFonts w:cs="Arial"/>
        </w:rPr>
        <w:t>2019</w:t>
      </w:r>
      <w:r w:rsidRPr="003A248D">
        <w:rPr>
          <w:rFonts w:cs="Arial"/>
        </w:rPr>
        <w:t>.</w:t>
      </w:r>
    </w:p>
    <w:tbl>
      <w:tblPr>
        <w:tblpPr w:leftFromText="187" w:rightFromText="187" w:vertAnchor="text" w:horzAnchor="margin" w:tblpXSpec="center" w:tblpY="145"/>
        <w:tblW w:w="0" w:type="auto"/>
        <w:tblLayout w:type="fixed"/>
        <w:tblCellMar>
          <w:left w:w="0" w:type="dxa"/>
          <w:right w:w="0" w:type="dxa"/>
        </w:tblCellMar>
        <w:tblLook w:val="00A0" w:firstRow="1" w:lastRow="0" w:firstColumn="1" w:lastColumn="0" w:noHBand="0" w:noVBand="0"/>
        <w:tblCaption w:val="State Ferries Biodiesel Purchases: 2009 to 2019"/>
        <w:tblDescription w:val="2019: 17,633,816 gallons of diesel were purchased; 1,200,837 gallons of biodiesel were purchased; for a total of 18,834,653 gallons purchased. Biodiesel represented 6.4% of the total gallons purchased.&#10;2018: 17,806,078 gallons of diesel were purchased; 843,467 gallons of biodiesel were purchased; for a total of 18,649,545 gallons purchased. Biodiesel represented 4.5% of the total gallons purchased.&#10;2017: 17,976,949 gallons of diesel were purchased; 882,214 gallons of biodiesel were purchased; for a total of 18,859,163 gallons purchased. Biodiesel represented 4.7% of the total gallons purchased.&#10;2016: 17,799,290 gallons of diesel were purchased; 807,807 gallons of biodiesel were purchased; for a total of 18,607,097 gallons purchased. Biodiesel represented 4.3% of the total gallons purchased.&#10;2015: 16,687,482 gallons of diesel were purchased; 691,580 gallons of biodiesel were purchased; for a total of 17,379,062 gallons purchased. Biodiesel represented 4.0% of the total gallons purchased.&#10;2014: 16,480,334 gallons of diesel were purchased; 715,653 gallons of biodiesel were purchased; for a total of 17,195,987 gallons purchased. Biodiesel represented 4.2% of the total gallons purchased.&#10;2013: 16,701,761 gallons of diesel were purchased; 687,741 gallons of biodiesel were purchased; for a total of 17,389,502 gallons purchased. Biodiesel represented 4.0% of the total gallons purchased.&#10;2012: 16,749,738 gallons of diesel were purchased; 485,537 gallons of biodiesel were purchased; for a total of 17,235,275 gallons purchased. Biodiesel represented 2.8% of the total gallons purchased.&#10;2011: 17,107,676 gallons of diesel were purchased; 468,837 gallons of biodiesel were purchased; for a total of 17,576,513 gallons purchased. Biodiesel represented 2.7% of the total gallons purchased.&#10;2010: 16,915,217 gallons of diesel were purchased; 221,421 gallons of biodiesel were purchased; for a total of 17,136,638 gallons purchased. Biodiesel represented 1.3% of the total gallons purchased.&#10;2009: 16,733,093 gallons of diesel were purchased; 101,939 gallons of biodiesel were purchased; for a total of 16,835,032 gallons purchased. Biodiesel represented 0.6% of the total gallons purchased."/>
      </w:tblPr>
      <w:tblGrid>
        <w:gridCol w:w="1399"/>
        <w:gridCol w:w="1800"/>
        <w:gridCol w:w="1800"/>
        <w:gridCol w:w="1562"/>
        <w:gridCol w:w="1277"/>
      </w:tblGrid>
      <w:tr w:rsidR="00ED3ED3" w:rsidRPr="00F965A4" w14:paraId="5D3C3E39" w14:textId="77777777" w:rsidTr="001D7744">
        <w:trPr>
          <w:trHeight w:hRule="exact" w:val="311"/>
          <w:tblHeader/>
        </w:trPr>
        <w:tc>
          <w:tcPr>
            <w:tcW w:w="7838" w:type="dxa"/>
            <w:gridSpan w:val="5"/>
            <w:tcBorders>
              <w:top w:val="nil"/>
              <w:left w:val="nil"/>
              <w:bottom w:val="single" w:sz="4" w:space="0" w:color="000000"/>
              <w:right w:val="nil"/>
            </w:tcBorders>
          </w:tcPr>
          <w:p w14:paraId="0CB6D5FF" w14:textId="77777777" w:rsidR="00ED3ED3" w:rsidRPr="00EE46DC" w:rsidRDefault="00ED3ED3" w:rsidP="00024BD3">
            <w:pPr>
              <w:pStyle w:val="TableParagraph"/>
              <w:kinsoku w:val="0"/>
              <w:overflowPunct w:val="0"/>
              <w:jc w:val="both"/>
              <w:rPr>
                <w:rFonts w:cs="Arial"/>
                <w:sz w:val="19"/>
                <w:szCs w:val="19"/>
              </w:rPr>
            </w:pPr>
            <w:r w:rsidRPr="00EE46DC">
              <w:rPr>
                <w:rFonts w:cs="Arial"/>
                <w:b/>
                <w:bCs/>
                <w:spacing w:val="-1"/>
                <w:sz w:val="19"/>
                <w:szCs w:val="19"/>
              </w:rPr>
              <w:t>State</w:t>
            </w:r>
            <w:r w:rsidRPr="00EE46DC">
              <w:rPr>
                <w:rFonts w:cs="Arial"/>
                <w:b/>
                <w:bCs/>
                <w:spacing w:val="-8"/>
                <w:sz w:val="19"/>
                <w:szCs w:val="19"/>
              </w:rPr>
              <w:t xml:space="preserve"> </w:t>
            </w:r>
            <w:r w:rsidRPr="00EE46DC">
              <w:rPr>
                <w:rFonts w:cs="Arial"/>
                <w:b/>
                <w:bCs/>
                <w:sz w:val="19"/>
                <w:szCs w:val="19"/>
              </w:rPr>
              <w:t>Ferries</w:t>
            </w:r>
            <w:r w:rsidRPr="00EE46DC">
              <w:rPr>
                <w:rFonts w:cs="Arial"/>
                <w:b/>
                <w:bCs/>
                <w:spacing w:val="-5"/>
                <w:sz w:val="19"/>
                <w:szCs w:val="19"/>
              </w:rPr>
              <w:t xml:space="preserve"> </w:t>
            </w:r>
            <w:r w:rsidRPr="00EE46DC">
              <w:rPr>
                <w:rFonts w:cs="Arial"/>
                <w:b/>
                <w:bCs/>
                <w:sz w:val="19"/>
                <w:szCs w:val="19"/>
              </w:rPr>
              <w:t>Biodiesel</w:t>
            </w:r>
            <w:r w:rsidRPr="00EE46DC">
              <w:rPr>
                <w:rFonts w:cs="Arial"/>
                <w:b/>
                <w:bCs/>
                <w:spacing w:val="-8"/>
                <w:sz w:val="19"/>
                <w:szCs w:val="19"/>
              </w:rPr>
              <w:t xml:space="preserve"> </w:t>
            </w:r>
            <w:r w:rsidR="00B33DF6" w:rsidRPr="00EE46DC">
              <w:rPr>
                <w:rFonts w:cs="Arial"/>
                <w:b/>
                <w:bCs/>
                <w:sz w:val="19"/>
                <w:szCs w:val="19"/>
              </w:rPr>
              <w:t>Purchases</w:t>
            </w:r>
            <w:r w:rsidRPr="00EE46DC">
              <w:rPr>
                <w:rFonts w:cs="Arial"/>
                <w:b/>
                <w:bCs/>
                <w:sz w:val="19"/>
                <w:szCs w:val="19"/>
              </w:rPr>
              <w:t>:</w:t>
            </w:r>
            <w:r w:rsidRPr="00EE46DC">
              <w:rPr>
                <w:rFonts w:cs="Arial"/>
                <w:b/>
                <w:bCs/>
                <w:spacing w:val="-7"/>
                <w:sz w:val="19"/>
                <w:szCs w:val="19"/>
              </w:rPr>
              <w:t xml:space="preserve"> </w:t>
            </w:r>
            <w:r w:rsidRPr="00EE46DC">
              <w:rPr>
                <w:rFonts w:cs="Arial"/>
                <w:b/>
                <w:bCs/>
                <w:sz w:val="19"/>
                <w:szCs w:val="19"/>
              </w:rPr>
              <w:t>2009</w:t>
            </w:r>
            <w:r w:rsidRPr="00EE46DC">
              <w:rPr>
                <w:rFonts w:cs="Arial"/>
                <w:b/>
                <w:bCs/>
                <w:spacing w:val="-8"/>
                <w:sz w:val="19"/>
                <w:szCs w:val="19"/>
              </w:rPr>
              <w:t xml:space="preserve"> </w:t>
            </w:r>
            <w:r w:rsidRPr="00EE46DC">
              <w:rPr>
                <w:rFonts w:cs="Arial"/>
                <w:b/>
                <w:bCs/>
                <w:sz w:val="19"/>
                <w:szCs w:val="19"/>
              </w:rPr>
              <w:t>to</w:t>
            </w:r>
            <w:r w:rsidRPr="00EE46DC">
              <w:rPr>
                <w:rFonts w:cs="Arial"/>
                <w:b/>
                <w:bCs/>
                <w:spacing w:val="-5"/>
                <w:sz w:val="19"/>
                <w:szCs w:val="19"/>
              </w:rPr>
              <w:t xml:space="preserve"> </w:t>
            </w:r>
            <w:r w:rsidR="007B0A94" w:rsidRPr="00EE46DC">
              <w:rPr>
                <w:rFonts w:cs="Arial"/>
                <w:b/>
                <w:bCs/>
                <w:sz w:val="19"/>
                <w:szCs w:val="19"/>
              </w:rPr>
              <w:t>20</w:t>
            </w:r>
            <w:r w:rsidR="007B0A94">
              <w:rPr>
                <w:rFonts w:cs="Arial"/>
                <w:b/>
                <w:bCs/>
                <w:sz w:val="19"/>
                <w:szCs w:val="19"/>
              </w:rPr>
              <w:t>20</w:t>
            </w:r>
          </w:p>
        </w:tc>
      </w:tr>
      <w:tr w:rsidR="00ED3ED3" w:rsidRPr="00F965A4" w14:paraId="372A23B7" w14:textId="77777777" w:rsidTr="001D7744">
        <w:trPr>
          <w:trHeight w:hRule="exact" w:val="310"/>
          <w:tblHeader/>
        </w:trPr>
        <w:tc>
          <w:tcPr>
            <w:tcW w:w="1399" w:type="dxa"/>
            <w:tcBorders>
              <w:top w:val="single" w:sz="4" w:space="0" w:color="000000"/>
              <w:left w:val="single" w:sz="4" w:space="0" w:color="000000"/>
              <w:bottom w:val="single" w:sz="4" w:space="0" w:color="000000"/>
              <w:right w:val="single" w:sz="4" w:space="0" w:color="000000"/>
            </w:tcBorders>
            <w:vAlign w:val="center"/>
          </w:tcPr>
          <w:p w14:paraId="6B2BFF73" w14:textId="77777777" w:rsidR="00ED3ED3" w:rsidRPr="00EE46DC" w:rsidRDefault="00ED3ED3" w:rsidP="00024BD3">
            <w:pPr>
              <w:pStyle w:val="TableParagraph"/>
              <w:kinsoku w:val="0"/>
              <w:overflowPunct w:val="0"/>
              <w:jc w:val="both"/>
              <w:rPr>
                <w:rFonts w:cs="Arial"/>
                <w:sz w:val="19"/>
                <w:szCs w:val="19"/>
              </w:rPr>
            </w:pPr>
            <w:r w:rsidRPr="00EE46DC">
              <w:rPr>
                <w:rFonts w:cs="Arial"/>
                <w:b/>
                <w:bCs/>
                <w:sz w:val="19"/>
                <w:szCs w:val="19"/>
              </w:rPr>
              <w:t>Year</w:t>
            </w:r>
          </w:p>
        </w:tc>
        <w:tc>
          <w:tcPr>
            <w:tcW w:w="1800" w:type="dxa"/>
            <w:tcBorders>
              <w:top w:val="single" w:sz="4" w:space="0" w:color="000000"/>
              <w:left w:val="single" w:sz="4" w:space="0" w:color="000000"/>
              <w:bottom w:val="single" w:sz="4" w:space="0" w:color="000000"/>
              <w:right w:val="single" w:sz="4" w:space="0" w:color="000000"/>
            </w:tcBorders>
            <w:vAlign w:val="center"/>
          </w:tcPr>
          <w:p w14:paraId="11F3CA74" w14:textId="77777777" w:rsidR="00ED3ED3" w:rsidRPr="00EE46DC" w:rsidRDefault="00ED3ED3" w:rsidP="00024BD3">
            <w:pPr>
              <w:pStyle w:val="TableParagraph"/>
              <w:kinsoku w:val="0"/>
              <w:overflowPunct w:val="0"/>
              <w:jc w:val="both"/>
              <w:rPr>
                <w:rFonts w:cs="Arial"/>
                <w:sz w:val="19"/>
                <w:szCs w:val="19"/>
              </w:rPr>
            </w:pPr>
            <w:r w:rsidRPr="00EE46DC">
              <w:rPr>
                <w:rFonts w:cs="Arial"/>
                <w:b/>
                <w:bCs/>
                <w:sz w:val="19"/>
                <w:szCs w:val="19"/>
              </w:rPr>
              <w:t>Diesel</w:t>
            </w:r>
            <w:r w:rsidRPr="00EE46DC">
              <w:rPr>
                <w:rFonts w:cs="Arial"/>
                <w:b/>
                <w:bCs/>
                <w:spacing w:val="-15"/>
                <w:sz w:val="19"/>
                <w:szCs w:val="19"/>
              </w:rPr>
              <w:t xml:space="preserve"> </w:t>
            </w:r>
            <w:r w:rsidRPr="00EE46DC">
              <w:rPr>
                <w:rFonts w:cs="Arial"/>
                <w:b/>
                <w:bCs/>
                <w:spacing w:val="-1"/>
                <w:sz w:val="19"/>
                <w:szCs w:val="19"/>
              </w:rPr>
              <w:t>Gallons</w:t>
            </w:r>
          </w:p>
        </w:tc>
        <w:tc>
          <w:tcPr>
            <w:tcW w:w="1800" w:type="dxa"/>
            <w:tcBorders>
              <w:top w:val="single" w:sz="4" w:space="0" w:color="000000"/>
              <w:left w:val="single" w:sz="4" w:space="0" w:color="000000"/>
              <w:bottom w:val="single" w:sz="4" w:space="0" w:color="000000"/>
              <w:right w:val="single" w:sz="4" w:space="0" w:color="000000"/>
            </w:tcBorders>
            <w:vAlign w:val="center"/>
          </w:tcPr>
          <w:p w14:paraId="50AA785D" w14:textId="77777777" w:rsidR="00ED3ED3" w:rsidRPr="00EE46DC" w:rsidRDefault="00ED3ED3" w:rsidP="00024BD3">
            <w:pPr>
              <w:pStyle w:val="TableParagraph"/>
              <w:kinsoku w:val="0"/>
              <w:overflowPunct w:val="0"/>
              <w:jc w:val="both"/>
              <w:rPr>
                <w:rFonts w:cs="Arial"/>
                <w:sz w:val="19"/>
                <w:szCs w:val="19"/>
              </w:rPr>
            </w:pPr>
            <w:r w:rsidRPr="00EE46DC">
              <w:rPr>
                <w:rFonts w:cs="Arial"/>
                <w:b/>
                <w:bCs/>
                <w:sz w:val="19"/>
                <w:szCs w:val="19"/>
              </w:rPr>
              <w:t>Biodiesel</w:t>
            </w:r>
            <w:r w:rsidRPr="00EE46DC">
              <w:rPr>
                <w:rFonts w:cs="Arial"/>
                <w:b/>
                <w:bCs/>
                <w:spacing w:val="-18"/>
                <w:sz w:val="19"/>
                <w:szCs w:val="19"/>
              </w:rPr>
              <w:t xml:space="preserve"> </w:t>
            </w:r>
            <w:r w:rsidRPr="00EE46DC">
              <w:rPr>
                <w:rFonts w:cs="Arial"/>
                <w:b/>
                <w:bCs/>
                <w:spacing w:val="-1"/>
                <w:sz w:val="19"/>
                <w:szCs w:val="19"/>
              </w:rPr>
              <w:t>Gallons</w:t>
            </w:r>
          </w:p>
        </w:tc>
        <w:tc>
          <w:tcPr>
            <w:tcW w:w="1562" w:type="dxa"/>
            <w:tcBorders>
              <w:top w:val="single" w:sz="4" w:space="0" w:color="000000"/>
              <w:left w:val="single" w:sz="4" w:space="0" w:color="000000"/>
              <w:bottom w:val="single" w:sz="4" w:space="0" w:color="000000"/>
              <w:right w:val="single" w:sz="4" w:space="0" w:color="000000"/>
            </w:tcBorders>
            <w:vAlign w:val="center"/>
          </w:tcPr>
          <w:p w14:paraId="36D878C7" w14:textId="77777777" w:rsidR="00ED3ED3" w:rsidRPr="00EE46DC" w:rsidRDefault="00ED3ED3" w:rsidP="00024BD3">
            <w:pPr>
              <w:pStyle w:val="TableParagraph"/>
              <w:kinsoku w:val="0"/>
              <w:overflowPunct w:val="0"/>
              <w:jc w:val="both"/>
              <w:rPr>
                <w:rFonts w:cs="Arial"/>
                <w:sz w:val="19"/>
                <w:szCs w:val="19"/>
              </w:rPr>
            </w:pPr>
            <w:r w:rsidRPr="00EE46DC">
              <w:rPr>
                <w:rFonts w:cs="Arial"/>
                <w:b/>
                <w:bCs/>
                <w:sz w:val="19"/>
                <w:szCs w:val="19"/>
              </w:rPr>
              <w:t>Total</w:t>
            </w:r>
            <w:r w:rsidRPr="00EE46DC">
              <w:rPr>
                <w:rFonts w:cs="Arial"/>
                <w:b/>
                <w:bCs/>
                <w:spacing w:val="-14"/>
                <w:sz w:val="19"/>
                <w:szCs w:val="19"/>
              </w:rPr>
              <w:t xml:space="preserve"> </w:t>
            </w:r>
            <w:r w:rsidRPr="00EE46DC">
              <w:rPr>
                <w:rFonts w:cs="Arial"/>
                <w:b/>
                <w:bCs/>
                <w:spacing w:val="-1"/>
                <w:sz w:val="19"/>
                <w:szCs w:val="19"/>
              </w:rPr>
              <w:t>Gallons</w:t>
            </w:r>
          </w:p>
        </w:tc>
        <w:tc>
          <w:tcPr>
            <w:tcW w:w="1277" w:type="dxa"/>
            <w:tcBorders>
              <w:top w:val="single" w:sz="4" w:space="0" w:color="000000"/>
              <w:left w:val="single" w:sz="4" w:space="0" w:color="000000"/>
              <w:bottom w:val="single" w:sz="4" w:space="0" w:color="000000"/>
              <w:right w:val="single" w:sz="4" w:space="0" w:color="000000"/>
            </w:tcBorders>
            <w:vAlign w:val="center"/>
          </w:tcPr>
          <w:p w14:paraId="299E40D6" w14:textId="77777777" w:rsidR="00ED3ED3" w:rsidRPr="00EE46DC" w:rsidRDefault="00ED3ED3" w:rsidP="00024BD3">
            <w:pPr>
              <w:pStyle w:val="TableParagraph"/>
              <w:kinsoku w:val="0"/>
              <w:overflowPunct w:val="0"/>
              <w:jc w:val="both"/>
              <w:rPr>
                <w:rFonts w:cs="Arial"/>
                <w:sz w:val="19"/>
                <w:szCs w:val="19"/>
              </w:rPr>
            </w:pPr>
            <w:r w:rsidRPr="00EE46DC">
              <w:rPr>
                <w:rFonts w:cs="Arial"/>
                <w:b/>
                <w:bCs/>
                <w:sz w:val="19"/>
                <w:szCs w:val="19"/>
              </w:rPr>
              <w:t>Biodiesel</w:t>
            </w:r>
            <w:r w:rsidRPr="00EE46DC">
              <w:rPr>
                <w:rFonts w:cs="Arial"/>
                <w:b/>
                <w:bCs/>
                <w:spacing w:val="-10"/>
                <w:sz w:val="19"/>
                <w:szCs w:val="19"/>
              </w:rPr>
              <w:t xml:space="preserve"> </w:t>
            </w:r>
            <w:r w:rsidRPr="00EE46DC">
              <w:rPr>
                <w:rFonts w:cs="Arial"/>
                <w:b/>
                <w:bCs/>
                <w:sz w:val="19"/>
                <w:szCs w:val="19"/>
              </w:rPr>
              <w:t>%</w:t>
            </w:r>
          </w:p>
        </w:tc>
      </w:tr>
      <w:tr w:rsidR="00EA52CD" w:rsidRPr="00F965A4" w14:paraId="2586F379" w14:textId="77777777" w:rsidTr="001D7744">
        <w:trPr>
          <w:trHeight w:val="143"/>
          <w:tblHeader/>
        </w:trPr>
        <w:tc>
          <w:tcPr>
            <w:tcW w:w="1399" w:type="dxa"/>
            <w:tcBorders>
              <w:top w:val="single" w:sz="4" w:space="0" w:color="000000"/>
              <w:left w:val="single" w:sz="4" w:space="0" w:color="000000"/>
              <w:bottom w:val="single" w:sz="4" w:space="0" w:color="000000"/>
              <w:right w:val="single" w:sz="4" w:space="0" w:color="000000"/>
            </w:tcBorders>
            <w:shd w:val="clear" w:color="auto" w:fill="auto"/>
          </w:tcPr>
          <w:p w14:paraId="66A8F261" w14:textId="77777777" w:rsidR="00EA52CD" w:rsidRPr="00EE46DC" w:rsidRDefault="00EA52CD" w:rsidP="00024BD3">
            <w:pPr>
              <w:pStyle w:val="TableParagraph"/>
              <w:kinsoku w:val="0"/>
              <w:overflowPunct w:val="0"/>
              <w:spacing w:before="66"/>
              <w:jc w:val="both"/>
              <w:rPr>
                <w:rFonts w:cs="Arial"/>
                <w:sz w:val="19"/>
                <w:szCs w:val="19"/>
              </w:rPr>
            </w:pPr>
            <w:r>
              <w:rPr>
                <w:rFonts w:cs="Arial"/>
                <w:sz w:val="19"/>
                <w:szCs w:val="19"/>
              </w:rPr>
              <w:t>2020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A675757" w14:textId="77777777" w:rsidR="00EA52CD" w:rsidRPr="00EE46DC" w:rsidRDefault="00EA52CD" w:rsidP="00024BD3">
            <w:pPr>
              <w:pStyle w:val="TableParagraph"/>
              <w:kinsoku w:val="0"/>
              <w:overflowPunct w:val="0"/>
              <w:spacing w:before="66"/>
              <w:jc w:val="both"/>
              <w:rPr>
                <w:rFonts w:cs="Arial"/>
                <w:sz w:val="19"/>
                <w:szCs w:val="19"/>
              </w:rPr>
            </w:pPr>
            <w:r>
              <w:rPr>
                <w:rFonts w:cs="Arial"/>
                <w:sz w:val="19"/>
                <w:szCs w:val="19"/>
              </w:rPr>
              <w:t>13,403,109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98E9838" w14:textId="77777777" w:rsidR="00EA52CD" w:rsidRPr="00EE46DC" w:rsidRDefault="00EA52CD" w:rsidP="00024BD3">
            <w:pPr>
              <w:pStyle w:val="TableParagraph"/>
              <w:kinsoku w:val="0"/>
              <w:overflowPunct w:val="0"/>
              <w:spacing w:before="66"/>
              <w:jc w:val="both"/>
              <w:rPr>
                <w:rFonts w:cs="Arial"/>
                <w:sz w:val="19"/>
                <w:szCs w:val="19"/>
              </w:rPr>
            </w:pPr>
            <w:r>
              <w:rPr>
                <w:rFonts w:cs="Arial"/>
                <w:sz w:val="19"/>
                <w:szCs w:val="19"/>
              </w:rPr>
              <w:t>1,448,102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E7280AD" w14:textId="77777777" w:rsidR="00EA52CD" w:rsidRPr="00EE46DC" w:rsidRDefault="00EA52CD" w:rsidP="00024BD3">
            <w:pPr>
              <w:pStyle w:val="TableParagraph"/>
              <w:kinsoku w:val="0"/>
              <w:overflowPunct w:val="0"/>
              <w:spacing w:before="66"/>
              <w:jc w:val="both"/>
              <w:rPr>
                <w:rFonts w:cs="Arial"/>
                <w:sz w:val="19"/>
                <w:szCs w:val="19"/>
              </w:rPr>
            </w:pPr>
            <w:r>
              <w:rPr>
                <w:rFonts w:cs="Arial"/>
                <w:sz w:val="19"/>
                <w:szCs w:val="19"/>
              </w:rPr>
              <w:t>14,851,211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29BF28A4" w14:textId="77777777" w:rsidR="00EA52CD" w:rsidRPr="00EE46DC" w:rsidRDefault="00EA52CD" w:rsidP="00024BD3">
            <w:pPr>
              <w:pStyle w:val="TableParagraph"/>
              <w:kinsoku w:val="0"/>
              <w:overflowPunct w:val="0"/>
              <w:spacing w:before="66"/>
              <w:jc w:val="both"/>
              <w:rPr>
                <w:rFonts w:cs="Arial"/>
                <w:sz w:val="19"/>
                <w:szCs w:val="19"/>
              </w:rPr>
            </w:pPr>
            <w:r>
              <w:rPr>
                <w:rFonts w:cs="Arial"/>
                <w:sz w:val="19"/>
                <w:szCs w:val="19"/>
              </w:rPr>
              <w:t>9.8%</w:t>
            </w:r>
          </w:p>
        </w:tc>
      </w:tr>
      <w:tr w:rsidR="00EA52CD" w:rsidRPr="00F965A4" w14:paraId="1E731F55" w14:textId="77777777" w:rsidTr="001D7744">
        <w:trPr>
          <w:trHeight w:val="143"/>
          <w:tblHeader/>
        </w:trPr>
        <w:tc>
          <w:tcPr>
            <w:tcW w:w="1399" w:type="dxa"/>
            <w:tcBorders>
              <w:top w:val="single" w:sz="4" w:space="0" w:color="000000"/>
              <w:left w:val="single" w:sz="4" w:space="0" w:color="000000"/>
              <w:bottom w:val="single" w:sz="4" w:space="0" w:color="000000"/>
              <w:right w:val="single" w:sz="4" w:space="0" w:color="000000"/>
            </w:tcBorders>
            <w:shd w:val="clear" w:color="auto" w:fill="auto"/>
          </w:tcPr>
          <w:p w14:paraId="45371EE8"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EA97BBA"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17,633,816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6FC796A"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1,200,837</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4ECAD89C"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18,834,653</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6E4B150"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6.4%</w:t>
            </w:r>
          </w:p>
        </w:tc>
      </w:tr>
      <w:tr w:rsidR="00EA52CD" w:rsidRPr="00F965A4" w14:paraId="194E7063" w14:textId="77777777" w:rsidTr="001D7744">
        <w:trPr>
          <w:trHeight w:val="143"/>
          <w:tblHeader/>
        </w:trPr>
        <w:tc>
          <w:tcPr>
            <w:tcW w:w="1399" w:type="dxa"/>
            <w:tcBorders>
              <w:top w:val="single" w:sz="4" w:space="0" w:color="000000"/>
              <w:left w:val="single" w:sz="4" w:space="0" w:color="000000"/>
              <w:bottom w:val="single" w:sz="4" w:space="0" w:color="000000"/>
              <w:right w:val="single" w:sz="4" w:space="0" w:color="000000"/>
            </w:tcBorders>
            <w:shd w:val="clear" w:color="auto" w:fill="auto"/>
          </w:tcPr>
          <w:p w14:paraId="4185CE7B"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54F0CEA"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17,806,078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4AF4ABF"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843,467</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3D33DC7"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18,649,545</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9F5E491"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4.5%</w:t>
            </w:r>
          </w:p>
        </w:tc>
      </w:tr>
      <w:tr w:rsidR="00EA52CD" w:rsidRPr="00F965A4" w14:paraId="5815EDC2" w14:textId="77777777" w:rsidTr="001D7744">
        <w:trPr>
          <w:trHeight w:val="143"/>
          <w:tblHeader/>
        </w:trPr>
        <w:tc>
          <w:tcPr>
            <w:tcW w:w="1399" w:type="dxa"/>
            <w:tcBorders>
              <w:top w:val="single" w:sz="4" w:space="0" w:color="000000"/>
              <w:left w:val="single" w:sz="4" w:space="0" w:color="000000"/>
              <w:bottom w:val="single" w:sz="4" w:space="0" w:color="000000"/>
              <w:right w:val="single" w:sz="4" w:space="0" w:color="000000"/>
            </w:tcBorders>
          </w:tcPr>
          <w:p w14:paraId="713A340B"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2017</w:t>
            </w:r>
          </w:p>
        </w:tc>
        <w:tc>
          <w:tcPr>
            <w:tcW w:w="1800" w:type="dxa"/>
            <w:tcBorders>
              <w:top w:val="single" w:sz="4" w:space="0" w:color="000000"/>
              <w:left w:val="single" w:sz="4" w:space="0" w:color="000000"/>
              <w:bottom w:val="single" w:sz="4" w:space="0" w:color="000000"/>
              <w:right w:val="single" w:sz="4" w:space="0" w:color="000000"/>
            </w:tcBorders>
          </w:tcPr>
          <w:p w14:paraId="60EB7F08"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17,976,949</w:t>
            </w:r>
          </w:p>
        </w:tc>
        <w:tc>
          <w:tcPr>
            <w:tcW w:w="1800" w:type="dxa"/>
            <w:tcBorders>
              <w:top w:val="single" w:sz="4" w:space="0" w:color="000000"/>
              <w:left w:val="single" w:sz="4" w:space="0" w:color="000000"/>
              <w:bottom w:val="single" w:sz="4" w:space="0" w:color="000000"/>
              <w:right w:val="single" w:sz="4" w:space="0" w:color="000000"/>
            </w:tcBorders>
          </w:tcPr>
          <w:p w14:paraId="45754B9E"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882,214</w:t>
            </w:r>
          </w:p>
        </w:tc>
        <w:tc>
          <w:tcPr>
            <w:tcW w:w="1562" w:type="dxa"/>
            <w:tcBorders>
              <w:top w:val="single" w:sz="4" w:space="0" w:color="000000"/>
              <w:left w:val="single" w:sz="4" w:space="0" w:color="000000"/>
              <w:bottom w:val="single" w:sz="4" w:space="0" w:color="000000"/>
              <w:right w:val="single" w:sz="4" w:space="0" w:color="000000"/>
            </w:tcBorders>
          </w:tcPr>
          <w:p w14:paraId="3FE2D3F3"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18,859,163</w:t>
            </w:r>
          </w:p>
        </w:tc>
        <w:tc>
          <w:tcPr>
            <w:tcW w:w="1277" w:type="dxa"/>
            <w:tcBorders>
              <w:top w:val="single" w:sz="4" w:space="0" w:color="000000"/>
              <w:left w:val="single" w:sz="4" w:space="0" w:color="000000"/>
              <w:bottom w:val="single" w:sz="4" w:space="0" w:color="000000"/>
              <w:right w:val="single" w:sz="4" w:space="0" w:color="000000"/>
            </w:tcBorders>
          </w:tcPr>
          <w:p w14:paraId="7BE9EC29"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4.7%</w:t>
            </w:r>
          </w:p>
        </w:tc>
      </w:tr>
      <w:tr w:rsidR="00EA52CD" w:rsidRPr="00F965A4" w14:paraId="2B8A2DCB" w14:textId="77777777" w:rsidTr="001D7744">
        <w:trPr>
          <w:trHeight w:val="143"/>
          <w:tblHeader/>
        </w:trPr>
        <w:tc>
          <w:tcPr>
            <w:tcW w:w="1399" w:type="dxa"/>
            <w:tcBorders>
              <w:top w:val="single" w:sz="4" w:space="0" w:color="000000"/>
              <w:left w:val="single" w:sz="4" w:space="0" w:color="000000"/>
              <w:bottom w:val="single" w:sz="4" w:space="0" w:color="000000"/>
              <w:right w:val="single" w:sz="4" w:space="0" w:color="000000"/>
            </w:tcBorders>
          </w:tcPr>
          <w:p w14:paraId="5C4F17E5"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2016</w:t>
            </w:r>
          </w:p>
        </w:tc>
        <w:tc>
          <w:tcPr>
            <w:tcW w:w="1800" w:type="dxa"/>
            <w:tcBorders>
              <w:top w:val="single" w:sz="4" w:space="0" w:color="000000"/>
              <w:left w:val="single" w:sz="4" w:space="0" w:color="000000"/>
              <w:bottom w:val="single" w:sz="4" w:space="0" w:color="000000"/>
              <w:right w:val="single" w:sz="4" w:space="0" w:color="000000"/>
            </w:tcBorders>
          </w:tcPr>
          <w:p w14:paraId="6154A606"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17,799,290</w:t>
            </w:r>
          </w:p>
        </w:tc>
        <w:tc>
          <w:tcPr>
            <w:tcW w:w="1800" w:type="dxa"/>
            <w:tcBorders>
              <w:top w:val="single" w:sz="4" w:space="0" w:color="000000"/>
              <w:left w:val="single" w:sz="4" w:space="0" w:color="000000"/>
              <w:bottom w:val="single" w:sz="4" w:space="0" w:color="000000"/>
              <w:right w:val="single" w:sz="4" w:space="0" w:color="000000"/>
            </w:tcBorders>
          </w:tcPr>
          <w:p w14:paraId="07721B5C"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807,807</w:t>
            </w:r>
          </w:p>
        </w:tc>
        <w:tc>
          <w:tcPr>
            <w:tcW w:w="1562" w:type="dxa"/>
            <w:tcBorders>
              <w:top w:val="single" w:sz="4" w:space="0" w:color="000000"/>
              <w:left w:val="single" w:sz="4" w:space="0" w:color="000000"/>
              <w:bottom w:val="single" w:sz="4" w:space="0" w:color="000000"/>
              <w:right w:val="single" w:sz="4" w:space="0" w:color="000000"/>
            </w:tcBorders>
          </w:tcPr>
          <w:p w14:paraId="3F905078"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18,607,097</w:t>
            </w:r>
          </w:p>
        </w:tc>
        <w:tc>
          <w:tcPr>
            <w:tcW w:w="1277" w:type="dxa"/>
            <w:tcBorders>
              <w:top w:val="single" w:sz="4" w:space="0" w:color="000000"/>
              <w:left w:val="single" w:sz="4" w:space="0" w:color="000000"/>
              <w:bottom w:val="single" w:sz="4" w:space="0" w:color="000000"/>
              <w:right w:val="single" w:sz="4" w:space="0" w:color="000000"/>
            </w:tcBorders>
          </w:tcPr>
          <w:p w14:paraId="1E6BE057"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4.3%</w:t>
            </w:r>
          </w:p>
        </w:tc>
      </w:tr>
      <w:tr w:rsidR="00EA52CD" w:rsidRPr="00F965A4" w14:paraId="32ED51BE" w14:textId="77777777" w:rsidTr="001D7744">
        <w:trPr>
          <w:tblHeader/>
        </w:trPr>
        <w:tc>
          <w:tcPr>
            <w:tcW w:w="1399" w:type="dxa"/>
            <w:tcBorders>
              <w:top w:val="single" w:sz="4" w:space="0" w:color="000000"/>
              <w:left w:val="single" w:sz="4" w:space="0" w:color="000000"/>
              <w:bottom w:val="single" w:sz="4" w:space="0" w:color="000000"/>
              <w:right w:val="single" w:sz="4" w:space="0" w:color="000000"/>
            </w:tcBorders>
          </w:tcPr>
          <w:p w14:paraId="6F0B8375"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2015</w:t>
            </w:r>
          </w:p>
        </w:tc>
        <w:tc>
          <w:tcPr>
            <w:tcW w:w="1800" w:type="dxa"/>
            <w:tcBorders>
              <w:top w:val="single" w:sz="4" w:space="0" w:color="000000"/>
              <w:left w:val="single" w:sz="4" w:space="0" w:color="000000"/>
              <w:bottom w:val="single" w:sz="4" w:space="0" w:color="000000"/>
              <w:right w:val="single" w:sz="4" w:space="0" w:color="000000"/>
            </w:tcBorders>
          </w:tcPr>
          <w:p w14:paraId="27BF20FB"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16,687,482</w:t>
            </w:r>
          </w:p>
        </w:tc>
        <w:tc>
          <w:tcPr>
            <w:tcW w:w="1800" w:type="dxa"/>
            <w:tcBorders>
              <w:top w:val="single" w:sz="4" w:space="0" w:color="000000"/>
              <w:left w:val="single" w:sz="4" w:space="0" w:color="000000"/>
              <w:bottom w:val="single" w:sz="4" w:space="0" w:color="000000"/>
              <w:right w:val="single" w:sz="4" w:space="0" w:color="000000"/>
            </w:tcBorders>
          </w:tcPr>
          <w:p w14:paraId="6A61123A"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691,580</w:t>
            </w:r>
          </w:p>
        </w:tc>
        <w:tc>
          <w:tcPr>
            <w:tcW w:w="1562" w:type="dxa"/>
            <w:tcBorders>
              <w:top w:val="single" w:sz="4" w:space="0" w:color="000000"/>
              <w:left w:val="single" w:sz="4" w:space="0" w:color="000000"/>
              <w:bottom w:val="single" w:sz="4" w:space="0" w:color="000000"/>
              <w:right w:val="single" w:sz="4" w:space="0" w:color="000000"/>
            </w:tcBorders>
          </w:tcPr>
          <w:p w14:paraId="29051B21"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17,379,062</w:t>
            </w:r>
          </w:p>
        </w:tc>
        <w:tc>
          <w:tcPr>
            <w:tcW w:w="1277" w:type="dxa"/>
            <w:tcBorders>
              <w:top w:val="single" w:sz="4" w:space="0" w:color="000000"/>
              <w:left w:val="single" w:sz="4" w:space="0" w:color="000000"/>
              <w:bottom w:val="single" w:sz="4" w:space="0" w:color="000000"/>
              <w:right w:val="single" w:sz="4" w:space="0" w:color="000000"/>
            </w:tcBorders>
          </w:tcPr>
          <w:p w14:paraId="43EE9595"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4.0%</w:t>
            </w:r>
          </w:p>
        </w:tc>
      </w:tr>
      <w:tr w:rsidR="00EA52CD" w:rsidRPr="00F965A4" w14:paraId="6601042D" w14:textId="77777777" w:rsidTr="001D7744">
        <w:trPr>
          <w:tblHeader/>
        </w:trPr>
        <w:tc>
          <w:tcPr>
            <w:tcW w:w="1399" w:type="dxa"/>
            <w:tcBorders>
              <w:top w:val="single" w:sz="4" w:space="0" w:color="000000"/>
              <w:left w:val="single" w:sz="4" w:space="0" w:color="000000"/>
              <w:bottom w:val="single" w:sz="4" w:space="0" w:color="000000"/>
              <w:right w:val="single" w:sz="4" w:space="0" w:color="000000"/>
            </w:tcBorders>
          </w:tcPr>
          <w:p w14:paraId="5565ACFB"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2014</w:t>
            </w:r>
          </w:p>
        </w:tc>
        <w:tc>
          <w:tcPr>
            <w:tcW w:w="1800" w:type="dxa"/>
            <w:tcBorders>
              <w:top w:val="single" w:sz="4" w:space="0" w:color="000000"/>
              <w:left w:val="single" w:sz="4" w:space="0" w:color="000000"/>
              <w:bottom w:val="single" w:sz="4" w:space="0" w:color="000000"/>
              <w:right w:val="single" w:sz="4" w:space="0" w:color="000000"/>
            </w:tcBorders>
          </w:tcPr>
          <w:p w14:paraId="38A9F38C"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16,480,334</w:t>
            </w:r>
          </w:p>
        </w:tc>
        <w:tc>
          <w:tcPr>
            <w:tcW w:w="1800" w:type="dxa"/>
            <w:tcBorders>
              <w:top w:val="single" w:sz="4" w:space="0" w:color="000000"/>
              <w:left w:val="single" w:sz="4" w:space="0" w:color="000000"/>
              <w:bottom w:val="single" w:sz="4" w:space="0" w:color="000000"/>
              <w:right w:val="single" w:sz="4" w:space="0" w:color="000000"/>
            </w:tcBorders>
          </w:tcPr>
          <w:p w14:paraId="6AF11DF2"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715,653</w:t>
            </w:r>
          </w:p>
        </w:tc>
        <w:tc>
          <w:tcPr>
            <w:tcW w:w="1562" w:type="dxa"/>
            <w:tcBorders>
              <w:top w:val="single" w:sz="4" w:space="0" w:color="000000"/>
              <w:left w:val="single" w:sz="4" w:space="0" w:color="000000"/>
              <w:bottom w:val="single" w:sz="4" w:space="0" w:color="000000"/>
              <w:right w:val="single" w:sz="4" w:space="0" w:color="000000"/>
            </w:tcBorders>
          </w:tcPr>
          <w:p w14:paraId="3F16AFD2"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17,195,987</w:t>
            </w:r>
          </w:p>
        </w:tc>
        <w:tc>
          <w:tcPr>
            <w:tcW w:w="1277" w:type="dxa"/>
            <w:tcBorders>
              <w:top w:val="single" w:sz="4" w:space="0" w:color="000000"/>
              <w:left w:val="single" w:sz="4" w:space="0" w:color="000000"/>
              <w:bottom w:val="single" w:sz="4" w:space="0" w:color="000000"/>
              <w:right w:val="single" w:sz="4" w:space="0" w:color="000000"/>
            </w:tcBorders>
          </w:tcPr>
          <w:p w14:paraId="6463DC23"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4.2%</w:t>
            </w:r>
          </w:p>
        </w:tc>
      </w:tr>
      <w:tr w:rsidR="00EA52CD" w:rsidRPr="00F965A4" w14:paraId="1403D916" w14:textId="77777777" w:rsidTr="001D7744">
        <w:trPr>
          <w:tblHeader/>
        </w:trPr>
        <w:tc>
          <w:tcPr>
            <w:tcW w:w="1399" w:type="dxa"/>
            <w:tcBorders>
              <w:top w:val="single" w:sz="4" w:space="0" w:color="000000"/>
              <w:left w:val="single" w:sz="4" w:space="0" w:color="000000"/>
              <w:bottom w:val="single" w:sz="4" w:space="0" w:color="000000"/>
              <w:right w:val="single" w:sz="4" w:space="0" w:color="000000"/>
            </w:tcBorders>
          </w:tcPr>
          <w:p w14:paraId="500A2DE7"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2013</w:t>
            </w:r>
          </w:p>
        </w:tc>
        <w:tc>
          <w:tcPr>
            <w:tcW w:w="1800" w:type="dxa"/>
            <w:tcBorders>
              <w:top w:val="single" w:sz="4" w:space="0" w:color="000000"/>
              <w:left w:val="single" w:sz="4" w:space="0" w:color="000000"/>
              <w:bottom w:val="single" w:sz="4" w:space="0" w:color="000000"/>
              <w:right w:val="single" w:sz="4" w:space="0" w:color="000000"/>
            </w:tcBorders>
          </w:tcPr>
          <w:p w14:paraId="318FE4EA"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16,701,761</w:t>
            </w:r>
          </w:p>
        </w:tc>
        <w:tc>
          <w:tcPr>
            <w:tcW w:w="1800" w:type="dxa"/>
            <w:tcBorders>
              <w:top w:val="single" w:sz="4" w:space="0" w:color="000000"/>
              <w:left w:val="single" w:sz="4" w:space="0" w:color="000000"/>
              <w:bottom w:val="single" w:sz="4" w:space="0" w:color="000000"/>
              <w:right w:val="single" w:sz="4" w:space="0" w:color="000000"/>
            </w:tcBorders>
          </w:tcPr>
          <w:p w14:paraId="784DB15B"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687,741</w:t>
            </w:r>
          </w:p>
        </w:tc>
        <w:tc>
          <w:tcPr>
            <w:tcW w:w="1562" w:type="dxa"/>
            <w:tcBorders>
              <w:top w:val="single" w:sz="4" w:space="0" w:color="000000"/>
              <w:left w:val="single" w:sz="4" w:space="0" w:color="000000"/>
              <w:bottom w:val="single" w:sz="4" w:space="0" w:color="000000"/>
              <w:right w:val="single" w:sz="4" w:space="0" w:color="000000"/>
            </w:tcBorders>
          </w:tcPr>
          <w:p w14:paraId="5799F3C8"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17,389,502</w:t>
            </w:r>
          </w:p>
        </w:tc>
        <w:tc>
          <w:tcPr>
            <w:tcW w:w="1277" w:type="dxa"/>
            <w:tcBorders>
              <w:top w:val="single" w:sz="4" w:space="0" w:color="000000"/>
              <w:left w:val="single" w:sz="4" w:space="0" w:color="000000"/>
              <w:bottom w:val="single" w:sz="4" w:space="0" w:color="000000"/>
              <w:right w:val="single" w:sz="4" w:space="0" w:color="000000"/>
            </w:tcBorders>
          </w:tcPr>
          <w:p w14:paraId="482A2615"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4.0%</w:t>
            </w:r>
          </w:p>
        </w:tc>
      </w:tr>
      <w:tr w:rsidR="00EA52CD" w:rsidRPr="00F965A4" w14:paraId="1C0BF0E8" w14:textId="77777777" w:rsidTr="001D7744">
        <w:trPr>
          <w:tblHeader/>
        </w:trPr>
        <w:tc>
          <w:tcPr>
            <w:tcW w:w="1399" w:type="dxa"/>
            <w:tcBorders>
              <w:top w:val="single" w:sz="4" w:space="0" w:color="000000"/>
              <w:left w:val="single" w:sz="4" w:space="0" w:color="000000"/>
              <w:bottom w:val="single" w:sz="4" w:space="0" w:color="000000"/>
              <w:right w:val="single" w:sz="4" w:space="0" w:color="000000"/>
            </w:tcBorders>
          </w:tcPr>
          <w:p w14:paraId="72ABD238"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2012</w:t>
            </w:r>
          </w:p>
        </w:tc>
        <w:tc>
          <w:tcPr>
            <w:tcW w:w="1800" w:type="dxa"/>
            <w:tcBorders>
              <w:top w:val="single" w:sz="4" w:space="0" w:color="000000"/>
              <w:left w:val="single" w:sz="4" w:space="0" w:color="000000"/>
              <w:bottom w:val="single" w:sz="4" w:space="0" w:color="000000"/>
              <w:right w:val="single" w:sz="4" w:space="0" w:color="000000"/>
            </w:tcBorders>
          </w:tcPr>
          <w:p w14:paraId="44AC9525"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16,749,738</w:t>
            </w:r>
          </w:p>
        </w:tc>
        <w:tc>
          <w:tcPr>
            <w:tcW w:w="1800" w:type="dxa"/>
            <w:tcBorders>
              <w:top w:val="single" w:sz="4" w:space="0" w:color="000000"/>
              <w:left w:val="single" w:sz="4" w:space="0" w:color="000000"/>
              <w:bottom w:val="single" w:sz="4" w:space="0" w:color="000000"/>
              <w:right w:val="single" w:sz="4" w:space="0" w:color="000000"/>
            </w:tcBorders>
          </w:tcPr>
          <w:p w14:paraId="2BE28E60"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485,537</w:t>
            </w:r>
          </w:p>
        </w:tc>
        <w:tc>
          <w:tcPr>
            <w:tcW w:w="1562" w:type="dxa"/>
            <w:tcBorders>
              <w:top w:val="single" w:sz="4" w:space="0" w:color="000000"/>
              <w:left w:val="single" w:sz="4" w:space="0" w:color="000000"/>
              <w:bottom w:val="single" w:sz="4" w:space="0" w:color="000000"/>
              <w:right w:val="single" w:sz="4" w:space="0" w:color="000000"/>
            </w:tcBorders>
          </w:tcPr>
          <w:p w14:paraId="2D7CBBDD"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17,235,275</w:t>
            </w:r>
          </w:p>
        </w:tc>
        <w:tc>
          <w:tcPr>
            <w:tcW w:w="1277" w:type="dxa"/>
            <w:tcBorders>
              <w:top w:val="single" w:sz="4" w:space="0" w:color="000000"/>
              <w:left w:val="single" w:sz="4" w:space="0" w:color="000000"/>
              <w:bottom w:val="single" w:sz="4" w:space="0" w:color="000000"/>
              <w:right w:val="single" w:sz="4" w:space="0" w:color="000000"/>
            </w:tcBorders>
          </w:tcPr>
          <w:p w14:paraId="253FCF99"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2.8%</w:t>
            </w:r>
          </w:p>
        </w:tc>
      </w:tr>
      <w:tr w:rsidR="00EA52CD" w:rsidRPr="00F965A4" w14:paraId="2D8D5312" w14:textId="77777777" w:rsidTr="001D7744">
        <w:trPr>
          <w:tblHeader/>
        </w:trPr>
        <w:tc>
          <w:tcPr>
            <w:tcW w:w="1399" w:type="dxa"/>
            <w:tcBorders>
              <w:top w:val="single" w:sz="4" w:space="0" w:color="000000"/>
              <w:left w:val="single" w:sz="4" w:space="0" w:color="000000"/>
              <w:bottom w:val="single" w:sz="4" w:space="0" w:color="000000"/>
              <w:right w:val="single" w:sz="4" w:space="0" w:color="000000"/>
            </w:tcBorders>
          </w:tcPr>
          <w:p w14:paraId="1125C355"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2011</w:t>
            </w:r>
          </w:p>
        </w:tc>
        <w:tc>
          <w:tcPr>
            <w:tcW w:w="1800" w:type="dxa"/>
            <w:tcBorders>
              <w:top w:val="single" w:sz="4" w:space="0" w:color="000000"/>
              <w:left w:val="single" w:sz="4" w:space="0" w:color="000000"/>
              <w:bottom w:val="single" w:sz="4" w:space="0" w:color="000000"/>
              <w:right w:val="single" w:sz="4" w:space="0" w:color="000000"/>
            </w:tcBorders>
          </w:tcPr>
          <w:p w14:paraId="70C35F8E"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17,107,676</w:t>
            </w:r>
          </w:p>
        </w:tc>
        <w:tc>
          <w:tcPr>
            <w:tcW w:w="1800" w:type="dxa"/>
            <w:tcBorders>
              <w:top w:val="single" w:sz="4" w:space="0" w:color="000000"/>
              <w:left w:val="single" w:sz="4" w:space="0" w:color="000000"/>
              <w:bottom w:val="single" w:sz="4" w:space="0" w:color="000000"/>
              <w:right w:val="single" w:sz="4" w:space="0" w:color="000000"/>
            </w:tcBorders>
          </w:tcPr>
          <w:p w14:paraId="1235B5F6"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468,837</w:t>
            </w:r>
          </w:p>
        </w:tc>
        <w:tc>
          <w:tcPr>
            <w:tcW w:w="1562" w:type="dxa"/>
            <w:tcBorders>
              <w:top w:val="single" w:sz="4" w:space="0" w:color="000000"/>
              <w:left w:val="single" w:sz="4" w:space="0" w:color="000000"/>
              <w:bottom w:val="single" w:sz="4" w:space="0" w:color="000000"/>
              <w:right w:val="single" w:sz="4" w:space="0" w:color="000000"/>
            </w:tcBorders>
          </w:tcPr>
          <w:p w14:paraId="31925D15"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17,576,513</w:t>
            </w:r>
          </w:p>
        </w:tc>
        <w:tc>
          <w:tcPr>
            <w:tcW w:w="1277" w:type="dxa"/>
            <w:tcBorders>
              <w:top w:val="single" w:sz="4" w:space="0" w:color="000000"/>
              <w:left w:val="single" w:sz="4" w:space="0" w:color="000000"/>
              <w:bottom w:val="single" w:sz="4" w:space="0" w:color="000000"/>
              <w:right w:val="single" w:sz="4" w:space="0" w:color="000000"/>
            </w:tcBorders>
          </w:tcPr>
          <w:p w14:paraId="5709C9BE"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2.7%</w:t>
            </w:r>
          </w:p>
        </w:tc>
      </w:tr>
      <w:tr w:rsidR="00EA52CD" w:rsidRPr="00F965A4" w14:paraId="72A522F1" w14:textId="77777777" w:rsidTr="001D7744">
        <w:trPr>
          <w:tblHeader/>
        </w:trPr>
        <w:tc>
          <w:tcPr>
            <w:tcW w:w="1399" w:type="dxa"/>
            <w:tcBorders>
              <w:top w:val="single" w:sz="4" w:space="0" w:color="000000"/>
              <w:left w:val="single" w:sz="4" w:space="0" w:color="000000"/>
              <w:bottom w:val="single" w:sz="4" w:space="0" w:color="000000"/>
              <w:right w:val="single" w:sz="4" w:space="0" w:color="000000"/>
            </w:tcBorders>
          </w:tcPr>
          <w:p w14:paraId="21B8933C"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2010</w:t>
            </w:r>
          </w:p>
        </w:tc>
        <w:tc>
          <w:tcPr>
            <w:tcW w:w="1800" w:type="dxa"/>
            <w:tcBorders>
              <w:top w:val="single" w:sz="4" w:space="0" w:color="000000"/>
              <w:left w:val="single" w:sz="4" w:space="0" w:color="000000"/>
              <w:bottom w:val="single" w:sz="4" w:space="0" w:color="000000"/>
              <w:right w:val="single" w:sz="4" w:space="0" w:color="000000"/>
            </w:tcBorders>
          </w:tcPr>
          <w:p w14:paraId="40F53964"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16,915,217</w:t>
            </w:r>
          </w:p>
        </w:tc>
        <w:tc>
          <w:tcPr>
            <w:tcW w:w="1800" w:type="dxa"/>
            <w:tcBorders>
              <w:top w:val="single" w:sz="4" w:space="0" w:color="000000"/>
              <w:left w:val="single" w:sz="4" w:space="0" w:color="000000"/>
              <w:bottom w:val="single" w:sz="4" w:space="0" w:color="000000"/>
              <w:right w:val="single" w:sz="4" w:space="0" w:color="000000"/>
            </w:tcBorders>
          </w:tcPr>
          <w:p w14:paraId="1AA78DF1"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221,421</w:t>
            </w:r>
          </w:p>
        </w:tc>
        <w:tc>
          <w:tcPr>
            <w:tcW w:w="1562" w:type="dxa"/>
            <w:tcBorders>
              <w:top w:val="single" w:sz="4" w:space="0" w:color="000000"/>
              <w:left w:val="single" w:sz="4" w:space="0" w:color="000000"/>
              <w:bottom w:val="single" w:sz="4" w:space="0" w:color="000000"/>
              <w:right w:val="single" w:sz="4" w:space="0" w:color="000000"/>
            </w:tcBorders>
          </w:tcPr>
          <w:p w14:paraId="28FD1D82"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17,136,638</w:t>
            </w:r>
          </w:p>
        </w:tc>
        <w:tc>
          <w:tcPr>
            <w:tcW w:w="1277" w:type="dxa"/>
            <w:tcBorders>
              <w:top w:val="single" w:sz="4" w:space="0" w:color="000000"/>
              <w:left w:val="single" w:sz="4" w:space="0" w:color="000000"/>
              <w:bottom w:val="single" w:sz="4" w:space="0" w:color="000000"/>
              <w:right w:val="single" w:sz="4" w:space="0" w:color="000000"/>
            </w:tcBorders>
          </w:tcPr>
          <w:p w14:paraId="1161DE98"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1.3%</w:t>
            </w:r>
          </w:p>
        </w:tc>
      </w:tr>
      <w:tr w:rsidR="00EA52CD" w:rsidRPr="00F965A4" w14:paraId="496C5E43" w14:textId="77777777" w:rsidTr="001D7744">
        <w:trPr>
          <w:tblHeader/>
        </w:trPr>
        <w:tc>
          <w:tcPr>
            <w:tcW w:w="1399" w:type="dxa"/>
            <w:tcBorders>
              <w:top w:val="single" w:sz="4" w:space="0" w:color="000000"/>
              <w:left w:val="single" w:sz="4" w:space="0" w:color="000000"/>
              <w:bottom w:val="single" w:sz="4" w:space="0" w:color="000000"/>
              <w:right w:val="single" w:sz="4" w:space="0" w:color="000000"/>
            </w:tcBorders>
            <w:shd w:val="clear" w:color="auto" w:fill="auto"/>
          </w:tcPr>
          <w:p w14:paraId="443A5A75"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2009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DAD0B5B"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16,733,093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2995529"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101,939</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F64DB17" w14:textId="77777777" w:rsidR="00EA52CD" w:rsidRPr="00EE46DC" w:rsidRDefault="00EA52CD" w:rsidP="00024BD3">
            <w:pPr>
              <w:pStyle w:val="TableParagraph"/>
              <w:kinsoku w:val="0"/>
              <w:overflowPunct w:val="0"/>
              <w:spacing w:before="66"/>
              <w:jc w:val="both"/>
              <w:rPr>
                <w:rFonts w:cs="Arial"/>
                <w:sz w:val="19"/>
                <w:szCs w:val="19"/>
              </w:rPr>
            </w:pPr>
            <w:r w:rsidRPr="00EE46DC">
              <w:rPr>
                <w:rFonts w:cs="Arial"/>
                <w:sz w:val="19"/>
                <w:szCs w:val="19"/>
              </w:rPr>
              <w:t>16,835,032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2B35C8FD" w14:textId="77777777" w:rsidR="00EA52CD" w:rsidRPr="00EE46DC" w:rsidRDefault="00EA52CD" w:rsidP="00024BD3">
            <w:pPr>
              <w:pStyle w:val="TableParagraph"/>
              <w:kinsoku w:val="0"/>
              <w:overflowPunct w:val="0"/>
              <w:spacing w:before="66"/>
              <w:jc w:val="both"/>
              <w:rPr>
                <w:rFonts w:cs="Arial"/>
                <w:spacing w:val="-1"/>
                <w:sz w:val="19"/>
                <w:szCs w:val="19"/>
              </w:rPr>
            </w:pPr>
            <w:r w:rsidRPr="00EE46DC">
              <w:rPr>
                <w:rFonts w:cs="Arial"/>
                <w:spacing w:val="-1"/>
                <w:sz w:val="19"/>
                <w:szCs w:val="19"/>
              </w:rPr>
              <w:t>0.6%</w:t>
            </w:r>
          </w:p>
        </w:tc>
      </w:tr>
    </w:tbl>
    <w:p w14:paraId="5D690DB3" w14:textId="77777777" w:rsidR="002C4E32" w:rsidRDefault="002C4E32" w:rsidP="00024BD3">
      <w:pPr>
        <w:widowControl/>
        <w:autoSpaceDE/>
        <w:autoSpaceDN/>
        <w:adjustRightInd/>
        <w:spacing w:after="120" w:line="276" w:lineRule="auto"/>
        <w:jc w:val="both"/>
        <w:rPr>
          <w:rFonts w:cs="Arial"/>
          <w:sz w:val="19"/>
          <w:szCs w:val="19"/>
        </w:rPr>
      </w:pPr>
    </w:p>
    <w:p w14:paraId="223F724E" w14:textId="77777777" w:rsidR="002C4E32" w:rsidRPr="00336515" w:rsidRDefault="002C4E32" w:rsidP="00024BD3">
      <w:pPr>
        <w:widowControl/>
        <w:autoSpaceDE/>
        <w:autoSpaceDN/>
        <w:adjustRightInd/>
        <w:spacing w:after="120" w:line="276" w:lineRule="auto"/>
        <w:ind w:left="360"/>
        <w:jc w:val="both"/>
        <w:rPr>
          <w:rFonts w:cs="Arial"/>
          <w:sz w:val="19"/>
          <w:szCs w:val="19"/>
        </w:rPr>
      </w:pPr>
    </w:p>
    <w:p w14:paraId="7710F1D9" w14:textId="77777777" w:rsidR="007B0A94" w:rsidRDefault="007B0A94" w:rsidP="00024BD3">
      <w:pPr>
        <w:pStyle w:val="BodyText"/>
        <w:jc w:val="both"/>
        <w:rPr>
          <w:rFonts w:cs="Arial"/>
        </w:rPr>
      </w:pPr>
    </w:p>
    <w:p w14:paraId="601B1807" w14:textId="77777777" w:rsidR="007B0A94" w:rsidRDefault="007B0A94" w:rsidP="00024BD3">
      <w:pPr>
        <w:pStyle w:val="BodyText"/>
        <w:jc w:val="both"/>
        <w:rPr>
          <w:rFonts w:cs="Arial"/>
        </w:rPr>
      </w:pPr>
    </w:p>
    <w:p w14:paraId="0A75AAAC" w14:textId="77777777" w:rsidR="007B0A94" w:rsidRDefault="007B0A94" w:rsidP="00024BD3">
      <w:pPr>
        <w:pStyle w:val="BodyText"/>
        <w:jc w:val="both"/>
        <w:rPr>
          <w:rFonts w:cs="Arial"/>
        </w:rPr>
      </w:pPr>
    </w:p>
    <w:p w14:paraId="5F215210" w14:textId="77777777" w:rsidR="007B0A94" w:rsidRDefault="007B0A94" w:rsidP="00024BD3">
      <w:pPr>
        <w:pStyle w:val="BodyText"/>
        <w:jc w:val="both"/>
        <w:rPr>
          <w:rFonts w:cs="Arial"/>
        </w:rPr>
      </w:pPr>
    </w:p>
    <w:p w14:paraId="1C5617E4" w14:textId="77777777" w:rsidR="007B0A94" w:rsidRDefault="007B0A94" w:rsidP="00024BD3">
      <w:pPr>
        <w:pStyle w:val="BodyText"/>
        <w:jc w:val="both"/>
        <w:rPr>
          <w:rFonts w:cs="Arial"/>
        </w:rPr>
      </w:pPr>
    </w:p>
    <w:p w14:paraId="2DDF44C5" w14:textId="77777777" w:rsidR="007B0A94" w:rsidRDefault="007B0A94" w:rsidP="00024BD3">
      <w:pPr>
        <w:pStyle w:val="BodyText"/>
        <w:jc w:val="both"/>
        <w:rPr>
          <w:rFonts w:cs="Arial"/>
        </w:rPr>
      </w:pPr>
    </w:p>
    <w:p w14:paraId="695E0338" w14:textId="77777777" w:rsidR="007B0A94" w:rsidRDefault="007B0A94" w:rsidP="00024BD3">
      <w:pPr>
        <w:pStyle w:val="BodyText"/>
        <w:jc w:val="both"/>
        <w:rPr>
          <w:rFonts w:cs="Arial"/>
        </w:rPr>
      </w:pPr>
    </w:p>
    <w:p w14:paraId="56AE6A63" w14:textId="77777777" w:rsidR="007B0A94" w:rsidRDefault="007B0A94" w:rsidP="00024BD3">
      <w:pPr>
        <w:pStyle w:val="BodyText"/>
        <w:jc w:val="both"/>
        <w:rPr>
          <w:rFonts w:cs="Arial"/>
        </w:rPr>
      </w:pPr>
    </w:p>
    <w:p w14:paraId="7C343925" w14:textId="77777777" w:rsidR="007B0A94" w:rsidRDefault="007B0A94" w:rsidP="00024BD3">
      <w:pPr>
        <w:pStyle w:val="BodyText"/>
        <w:jc w:val="both"/>
        <w:rPr>
          <w:rFonts w:cs="Arial"/>
        </w:rPr>
      </w:pPr>
    </w:p>
    <w:p w14:paraId="7A8130D5" w14:textId="77777777" w:rsidR="007B0A94" w:rsidRDefault="007B0A94" w:rsidP="00024BD3">
      <w:pPr>
        <w:pStyle w:val="BodyText"/>
        <w:jc w:val="both"/>
        <w:rPr>
          <w:rFonts w:cs="Arial"/>
        </w:rPr>
      </w:pPr>
    </w:p>
    <w:p w14:paraId="493B46E7" w14:textId="77777777" w:rsidR="007B0A94" w:rsidRDefault="007B0A94" w:rsidP="00024BD3">
      <w:pPr>
        <w:pStyle w:val="BodyText"/>
        <w:jc w:val="both"/>
        <w:rPr>
          <w:rFonts w:cs="Arial"/>
        </w:rPr>
      </w:pPr>
    </w:p>
    <w:p w14:paraId="021BD893" w14:textId="77777777" w:rsidR="007B0A94" w:rsidRDefault="007B0A94" w:rsidP="00024BD3">
      <w:pPr>
        <w:pStyle w:val="BodyText"/>
        <w:jc w:val="both"/>
        <w:rPr>
          <w:rFonts w:cs="Arial"/>
        </w:rPr>
      </w:pPr>
    </w:p>
    <w:p w14:paraId="01502BEA" w14:textId="77777777" w:rsidR="007B0A94" w:rsidRDefault="007B0A94" w:rsidP="00024BD3">
      <w:pPr>
        <w:pStyle w:val="BodyText"/>
        <w:jc w:val="both"/>
        <w:rPr>
          <w:rFonts w:cs="Arial"/>
        </w:rPr>
      </w:pPr>
    </w:p>
    <w:p w14:paraId="7BB15F70" w14:textId="77777777" w:rsidR="007B0A94" w:rsidRPr="00F054A3" w:rsidRDefault="007B0A94" w:rsidP="00024BD3">
      <w:pPr>
        <w:pStyle w:val="BodyText"/>
        <w:jc w:val="both"/>
        <w:rPr>
          <w:rFonts w:cs="Arial"/>
          <w:sz w:val="22"/>
        </w:rPr>
      </w:pPr>
    </w:p>
    <w:p w14:paraId="5EA73BB3" w14:textId="77777777" w:rsidR="007B0A94" w:rsidRDefault="002C4E32" w:rsidP="00024BD3">
      <w:pPr>
        <w:pStyle w:val="BodyText"/>
        <w:jc w:val="both"/>
        <w:rPr>
          <w:rFonts w:cs="Arial"/>
        </w:rPr>
      </w:pPr>
      <w:r w:rsidRPr="002C4E32">
        <w:rPr>
          <w:rFonts w:cs="Arial"/>
        </w:rPr>
        <w:t>WSF’s progress using biodiesel has occurred in stages. WSF began using B5 for vessels fueled by truck from the Harbor Island truck facility in Seattle in 2009. Vessels fueled by truck from Anacortes began using B5 in 2011. Installation of infrastructure for in-line biodiesel blending at the Seattle Harbor Island dock facility was completed in early 2013.</w:t>
      </w:r>
    </w:p>
    <w:p w14:paraId="50AA1DF7" w14:textId="77777777" w:rsidR="007B0A94" w:rsidRPr="006656DE" w:rsidRDefault="007B0A94" w:rsidP="00024BD3">
      <w:pPr>
        <w:pStyle w:val="BodyText"/>
        <w:jc w:val="both"/>
        <w:rPr>
          <w:rFonts w:cs="Arial"/>
        </w:rPr>
      </w:pPr>
    </w:p>
    <w:p w14:paraId="294C61B3" w14:textId="77777777" w:rsidR="002C4E32" w:rsidRDefault="002C4E32" w:rsidP="00024BD3">
      <w:pPr>
        <w:pStyle w:val="BodyText"/>
        <w:jc w:val="both"/>
        <w:rPr>
          <w:rFonts w:cs="Arial"/>
        </w:rPr>
      </w:pPr>
      <w:r>
        <w:rPr>
          <w:rFonts w:cs="Arial"/>
        </w:rPr>
        <w:t xml:space="preserve">After completing a pilot test in 2018 that found no negative impacts of B10 </w:t>
      </w:r>
      <w:r w:rsidRPr="00757DD1">
        <w:rPr>
          <w:rFonts w:cs="Arial"/>
        </w:rPr>
        <w:t>on vessel equipment, performance, and maintenance</w:t>
      </w:r>
      <w:r>
        <w:rPr>
          <w:rFonts w:cs="Arial"/>
        </w:rPr>
        <w:t>, WSF implemented fleet-wide use of B10 in July 2019. Use of a self-propelled bunkering vessel to deliver B10 via vessel-to-vessel delivery was pilot tested in October 2019 at Pier 15</w:t>
      </w:r>
      <w:r w:rsidR="00136087">
        <w:rPr>
          <w:rFonts w:cs="Arial"/>
        </w:rPr>
        <w:t xml:space="preserve"> in Seattle</w:t>
      </w:r>
      <w:r>
        <w:rPr>
          <w:rFonts w:cs="Arial"/>
        </w:rPr>
        <w:t>. After successful testing, vessel-to-vessel fuel delivery started at the Kingston Terminal in November 2019</w:t>
      </w:r>
      <w:r w:rsidR="00136087">
        <w:rPr>
          <w:rFonts w:cs="Arial"/>
        </w:rPr>
        <w:t>,</w:t>
      </w:r>
      <w:r w:rsidR="000659E9">
        <w:rPr>
          <w:rFonts w:cs="Arial"/>
        </w:rPr>
        <w:t xml:space="preserve"> </w:t>
      </w:r>
      <w:r w:rsidR="00EA52CD">
        <w:rPr>
          <w:rFonts w:cs="Arial"/>
        </w:rPr>
        <w:t>expanded to the Bremerton Terminal in January 2020</w:t>
      </w:r>
      <w:r w:rsidR="00136087">
        <w:rPr>
          <w:rFonts w:cs="Arial"/>
        </w:rPr>
        <w:t>,</w:t>
      </w:r>
      <w:r w:rsidR="00EA52CD">
        <w:rPr>
          <w:rFonts w:cs="Arial"/>
        </w:rPr>
        <w:t xml:space="preserve"> and the Bainbridge Island Terminal in June 2020. Pilot testing of vessel-to-vessel delivery at the Vashon Island Terminal also occurred in 2020.</w:t>
      </w:r>
    </w:p>
    <w:p w14:paraId="724CE91D" w14:textId="77777777" w:rsidR="007B0A94" w:rsidRPr="002C4E32" w:rsidRDefault="007B0A94" w:rsidP="00024BD3">
      <w:pPr>
        <w:pStyle w:val="BodyText"/>
        <w:jc w:val="both"/>
        <w:rPr>
          <w:rFonts w:cs="Arial"/>
        </w:rPr>
      </w:pPr>
    </w:p>
    <w:p w14:paraId="0B97FC9E" w14:textId="77777777" w:rsidR="00757DD1" w:rsidRDefault="002B5D47" w:rsidP="00024BD3">
      <w:pPr>
        <w:pStyle w:val="BodyText"/>
        <w:jc w:val="both"/>
        <w:rPr>
          <w:rFonts w:cs="Arial"/>
        </w:rPr>
      </w:pPr>
      <w:r>
        <w:rPr>
          <w:rFonts w:cs="Arial"/>
        </w:rPr>
        <w:t>A</w:t>
      </w:r>
      <w:r w:rsidR="00757DD1" w:rsidRPr="00757DD1">
        <w:rPr>
          <w:rFonts w:cs="Arial"/>
        </w:rPr>
        <w:t xml:space="preserve">ll delivery locations received </w:t>
      </w:r>
      <w:r w:rsidR="00F265F9">
        <w:rPr>
          <w:rFonts w:cs="Arial"/>
        </w:rPr>
        <w:t>biodiesel</w:t>
      </w:r>
      <w:r w:rsidR="00757DD1" w:rsidRPr="00757DD1">
        <w:rPr>
          <w:rFonts w:cs="Arial"/>
        </w:rPr>
        <w:t xml:space="preserve"> fuel</w:t>
      </w:r>
      <w:r>
        <w:rPr>
          <w:rFonts w:cs="Arial"/>
        </w:rPr>
        <w:t xml:space="preserve"> during </w:t>
      </w:r>
      <w:r w:rsidR="00EA52CD">
        <w:rPr>
          <w:rFonts w:cs="Arial"/>
        </w:rPr>
        <w:t>2020</w:t>
      </w:r>
      <w:r w:rsidR="00757DD1" w:rsidRPr="00757DD1">
        <w:rPr>
          <w:rFonts w:cs="Arial"/>
        </w:rPr>
        <w:t xml:space="preserve">, with </w:t>
      </w:r>
      <w:r w:rsidR="00EA52CD">
        <w:rPr>
          <w:rFonts w:cs="Arial"/>
        </w:rPr>
        <w:t>every</w:t>
      </w:r>
      <w:r w:rsidR="00F265F9">
        <w:rPr>
          <w:rFonts w:cs="Arial"/>
        </w:rPr>
        <w:t xml:space="preserve"> location averaging at least </w:t>
      </w:r>
      <w:r w:rsidR="00E914DF">
        <w:rPr>
          <w:rFonts w:cs="Arial"/>
        </w:rPr>
        <w:t>9</w:t>
      </w:r>
      <w:r w:rsidR="00292F2C">
        <w:rPr>
          <w:rFonts w:cs="Arial"/>
        </w:rPr>
        <w:t>%</w:t>
      </w:r>
      <w:r w:rsidR="00757DD1" w:rsidRPr="00757DD1">
        <w:rPr>
          <w:rFonts w:cs="Arial"/>
        </w:rPr>
        <w:t xml:space="preserve"> biodiesel. Notably, </w:t>
      </w:r>
      <w:r w:rsidR="00EA52CD">
        <w:rPr>
          <w:rFonts w:cs="Arial"/>
        </w:rPr>
        <w:t>five terminals (Bainbridge, Fauntleroy, Port Townsend, Point Defiance, and Vashon) received exclusively B10.</w:t>
      </w:r>
      <w:r w:rsidR="00101965">
        <w:rPr>
          <w:rFonts w:cs="Arial"/>
        </w:rPr>
        <w:t xml:space="preserve"> </w:t>
      </w:r>
      <w:r w:rsidR="00C03167">
        <w:rPr>
          <w:rFonts w:cs="Arial"/>
        </w:rPr>
        <w:t>F</w:t>
      </w:r>
      <w:r w:rsidR="00757DD1" w:rsidRPr="00757DD1">
        <w:rPr>
          <w:rFonts w:cs="Arial"/>
        </w:rPr>
        <w:t xml:space="preserve">uel at the </w:t>
      </w:r>
      <w:r w:rsidR="00EA52CD">
        <w:rPr>
          <w:rFonts w:cs="Arial"/>
        </w:rPr>
        <w:t>Anacortes Terminal</w:t>
      </w:r>
      <w:r w:rsidR="00C229C7">
        <w:rPr>
          <w:rFonts w:cs="Arial"/>
        </w:rPr>
        <w:t>,</w:t>
      </w:r>
      <w:r w:rsidR="00B72997">
        <w:rPr>
          <w:rFonts w:cs="Arial"/>
        </w:rPr>
        <w:t xml:space="preserve"> </w:t>
      </w:r>
      <w:r w:rsidR="00757DD1" w:rsidRPr="00757DD1">
        <w:rPr>
          <w:rFonts w:cs="Arial"/>
        </w:rPr>
        <w:t>which accounted fo</w:t>
      </w:r>
      <w:r w:rsidR="00012DE5">
        <w:rPr>
          <w:rFonts w:cs="Arial"/>
        </w:rPr>
        <w:t>r</w:t>
      </w:r>
      <w:r w:rsidR="00757DD1" w:rsidRPr="00757DD1">
        <w:rPr>
          <w:rFonts w:cs="Arial"/>
        </w:rPr>
        <w:t xml:space="preserve"> </w:t>
      </w:r>
      <w:r w:rsidR="00EA52CD">
        <w:rPr>
          <w:rFonts w:cs="Arial"/>
        </w:rPr>
        <w:t>21</w:t>
      </w:r>
      <w:r w:rsidR="00292F2C">
        <w:rPr>
          <w:rFonts w:cs="Arial"/>
        </w:rPr>
        <w:t>%</w:t>
      </w:r>
      <w:r w:rsidR="00757DD1" w:rsidRPr="00757DD1">
        <w:rPr>
          <w:rFonts w:cs="Arial"/>
        </w:rPr>
        <w:t xml:space="preserve"> of all fuel delivered </w:t>
      </w:r>
      <w:r w:rsidR="00EF5233">
        <w:rPr>
          <w:rFonts w:cs="Arial"/>
        </w:rPr>
        <w:t xml:space="preserve">during </w:t>
      </w:r>
      <w:r w:rsidR="00757DD1" w:rsidRPr="00757DD1">
        <w:rPr>
          <w:rFonts w:cs="Arial"/>
        </w:rPr>
        <w:t>this period</w:t>
      </w:r>
      <w:r w:rsidR="00EA52CD">
        <w:rPr>
          <w:rFonts w:cs="Arial"/>
        </w:rPr>
        <w:t xml:space="preserve"> (the highest percentage of any delivery location)</w:t>
      </w:r>
      <w:r w:rsidR="00757DD1" w:rsidRPr="00757DD1">
        <w:rPr>
          <w:rFonts w:cs="Arial"/>
        </w:rPr>
        <w:t xml:space="preserve">, averaged </w:t>
      </w:r>
      <w:r w:rsidR="00EA52CD">
        <w:rPr>
          <w:rFonts w:cs="Arial"/>
        </w:rPr>
        <w:t>9.9</w:t>
      </w:r>
      <w:r w:rsidR="00292F2C">
        <w:rPr>
          <w:rFonts w:cs="Arial"/>
        </w:rPr>
        <w:t>%</w:t>
      </w:r>
      <w:r w:rsidR="00757DD1" w:rsidRPr="00757DD1">
        <w:rPr>
          <w:rFonts w:cs="Arial"/>
        </w:rPr>
        <w:t xml:space="preserve"> biodiesel</w:t>
      </w:r>
      <w:r w:rsidR="00012DE5">
        <w:rPr>
          <w:rFonts w:cs="Arial"/>
        </w:rPr>
        <w:t>. F</w:t>
      </w:r>
      <w:r w:rsidR="00757DD1" w:rsidRPr="00757DD1">
        <w:rPr>
          <w:rFonts w:cs="Arial"/>
        </w:rPr>
        <w:t xml:space="preserve">uel deliveries to </w:t>
      </w:r>
      <w:r w:rsidR="00EA52CD">
        <w:rPr>
          <w:rFonts w:cs="Arial"/>
        </w:rPr>
        <w:t>the</w:t>
      </w:r>
      <w:r w:rsidR="00757DD1" w:rsidRPr="00757DD1">
        <w:rPr>
          <w:rFonts w:cs="Arial"/>
        </w:rPr>
        <w:t xml:space="preserve"> Friday Ha</w:t>
      </w:r>
      <w:r w:rsidR="00C03167">
        <w:rPr>
          <w:rFonts w:cs="Arial"/>
        </w:rPr>
        <w:t xml:space="preserve">rbor </w:t>
      </w:r>
      <w:r w:rsidR="00EA52CD">
        <w:rPr>
          <w:rFonts w:cs="Arial"/>
        </w:rPr>
        <w:t xml:space="preserve">Terminal </w:t>
      </w:r>
      <w:r w:rsidR="00C03167">
        <w:rPr>
          <w:rFonts w:cs="Arial"/>
        </w:rPr>
        <w:t xml:space="preserve">averaged </w:t>
      </w:r>
      <w:r w:rsidR="00E914DF">
        <w:rPr>
          <w:rFonts w:cs="Arial"/>
        </w:rPr>
        <w:t>9</w:t>
      </w:r>
      <w:r w:rsidR="00292F2C">
        <w:rPr>
          <w:rFonts w:cs="Arial"/>
        </w:rPr>
        <w:t>%</w:t>
      </w:r>
      <w:r w:rsidR="00C229C7">
        <w:rPr>
          <w:rFonts w:cs="Arial"/>
        </w:rPr>
        <w:t xml:space="preserve">, </w:t>
      </w:r>
      <w:r w:rsidR="00EA52CD">
        <w:rPr>
          <w:rFonts w:cs="Arial"/>
        </w:rPr>
        <w:t>the lowest biodiesel percentage of</w:t>
      </w:r>
      <w:r w:rsidR="00DC7D9C">
        <w:rPr>
          <w:rFonts w:cs="Arial"/>
        </w:rPr>
        <w:t xml:space="preserve"> any delivery location</w:t>
      </w:r>
      <w:r w:rsidR="00EA52CD">
        <w:rPr>
          <w:rFonts w:cs="Arial"/>
        </w:rPr>
        <w:t>.</w:t>
      </w:r>
    </w:p>
    <w:p w14:paraId="60C2EF45" w14:textId="77777777" w:rsidR="007B0A94" w:rsidRPr="00757DD1" w:rsidRDefault="007B0A94" w:rsidP="00024BD3">
      <w:pPr>
        <w:pStyle w:val="BodyText"/>
        <w:jc w:val="both"/>
        <w:rPr>
          <w:rFonts w:cs="Arial"/>
        </w:rPr>
      </w:pPr>
    </w:p>
    <w:p w14:paraId="31621AE9" w14:textId="77777777" w:rsidR="00757DD1" w:rsidRDefault="00757DD1" w:rsidP="00024BD3">
      <w:pPr>
        <w:pStyle w:val="BodyText"/>
        <w:jc w:val="both"/>
        <w:rPr>
          <w:rFonts w:cs="Arial"/>
        </w:rPr>
      </w:pPr>
      <w:r w:rsidRPr="00CF0B63">
        <w:rPr>
          <w:rFonts w:cs="Arial"/>
        </w:rPr>
        <w:t xml:space="preserve">WSF uses Portland, </w:t>
      </w:r>
      <w:r w:rsidR="00E914DF" w:rsidRPr="00CF0B63">
        <w:rPr>
          <w:rFonts w:cs="Arial"/>
        </w:rPr>
        <w:t>Ore</w:t>
      </w:r>
      <w:r w:rsidR="00E914DF">
        <w:rPr>
          <w:rFonts w:cs="Arial"/>
        </w:rPr>
        <w:t>.,</w:t>
      </w:r>
      <w:r w:rsidR="00E914DF" w:rsidRPr="00CF0B63">
        <w:rPr>
          <w:rFonts w:cs="Arial"/>
        </w:rPr>
        <w:t xml:space="preserve"> </w:t>
      </w:r>
      <w:r w:rsidRPr="00CF0B63">
        <w:rPr>
          <w:rFonts w:cs="Arial"/>
        </w:rPr>
        <w:t xml:space="preserve">as a reference city for </w:t>
      </w:r>
      <w:r w:rsidR="00EA52CD">
        <w:rPr>
          <w:rFonts w:cs="Arial"/>
        </w:rPr>
        <w:t>biodiesel</w:t>
      </w:r>
      <w:r w:rsidR="00EA52CD" w:rsidRPr="00CF0B63">
        <w:rPr>
          <w:rFonts w:cs="Arial"/>
        </w:rPr>
        <w:t xml:space="preserve"> </w:t>
      </w:r>
      <w:r w:rsidRPr="00CF0B63">
        <w:rPr>
          <w:rFonts w:cs="Arial"/>
        </w:rPr>
        <w:t xml:space="preserve">prices. For </w:t>
      </w:r>
      <w:r w:rsidR="00EA52CD" w:rsidRPr="00CF0B63">
        <w:rPr>
          <w:rFonts w:cs="Arial"/>
        </w:rPr>
        <w:t>20</w:t>
      </w:r>
      <w:r w:rsidR="00EA52CD">
        <w:rPr>
          <w:rFonts w:cs="Arial"/>
        </w:rPr>
        <w:t>20</w:t>
      </w:r>
      <w:r w:rsidRPr="00CF0B63">
        <w:rPr>
          <w:rFonts w:cs="Arial"/>
        </w:rPr>
        <w:t xml:space="preserve">, the price of Portland B5 was, on average, </w:t>
      </w:r>
      <w:r w:rsidR="00EA52CD">
        <w:rPr>
          <w:rFonts w:cs="Arial"/>
        </w:rPr>
        <w:t>1.2</w:t>
      </w:r>
      <w:r w:rsidR="00292F2C">
        <w:rPr>
          <w:rFonts w:cs="Arial"/>
        </w:rPr>
        <w:t>%</w:t>
      </w:r>
      <w:r w:rsidR="00EA52CD">
        <w:rPr>
          <w:rFonts w:cs="Arial"/>
        </w:rPr>
        <w:t xml:space="preserve"> </w:t>
      </w:r>
      <w:r w:rsidR="00EA52CD" w:rsidRPr="00CF0B63">
        <w:rPr>
          <w:rFonts w:cs="Arial"/>
        </w:rPr>
        <w:t>lower than diesel</w:t>
      </w:r>
      <w:r w:rsidR="00EA52CD">
        <w:rPr>
          <w:rFonts w:cs="Arial"/>
        </w:rPr>
        <w:t xml:space="preserve"> and the price of Portland B10 was, on average, 0.9</w:t>
      </w:r>
      <w:r w:rsidR="00292F2C">
        <w:rPr>
          <w:rFonts w:cs="Arial"/>
        </w:rPr>
        <w:t>%</w:t>
      </w:r>
      <w:r w:rsidR="00EA52CD">
        <w:rPr>
          <w:rFonts w:cs="Arial"/>
        </w:rPr>
        <w:t xml:space="preserve"> lower than diesel.</w:t>
      </w:r>
    </w:p>
    <w:p w14:paraId="1BAF2541" w14:textId="77777777" w:rsidR="007B0A94" w:rsidRPr="00CF0B63" w:rsidRDefault="007B0A94" w:rsidP="00024BD3">
      <w:pPr>
        <w:pStyle w:val="BodyText"/>
        <w:jc w:val="both"/>
        <w:rPr>
          <w:rFonts w:cs="Arial"/>
        </w:rPr>
      </w:pPr>
    </w:p>
    <w:p w14:paraId="2934E277" w14:textId="77777777" w:rsidR="00EA52CD" w:rsidRPr="005C1AF8" w:rsidRDefault="00EA52CD" w:rsidP="00024BD3">
      <w:pPr>
        <w:pStyle w:val="BodyText"/>
        <w:jc w:val="both"/>
        <w:rPr>
          <w:rFonts w:cs="Arial"/>
        </w:rPr>
      </w:pPr>
      <w:r>
        <w:rPr>
          <w:rFonts w:cs="Arial"/>
        </w:rPr>
        <w:t xml:space="preserve">In </w:t>
      </w:r>
      <w:r w:rsidRPr="005C1AF8">
        <w:rPr>
          <w:rFonts w:cs="Arial"/>
        </w:rPr>
        <w:t>2020, lubricating oil for the Detroit Diesel Series 60 diesel engine, an engine used widely throughout the fleet as a prime mover for vessel service generators, experienced excessive fuel oil dilution. The oil dilution issue was correlated with the</w:t>
      </w:r>
      <w:r>
        <w:rPr>
          <w:rFonts w:cs="Arial"/>
        </w:rPr>
        <w:t xml:space="preserve"> July 2019</w:t>
      </w:r>
      <w:r w:rsidRPr="005C1AF8">
        <w:rPr>
          <w:rFonts w:cs="Arial"/>
        </w:rPr>
        <w:t xml:space="preserve"> fleet-wide transition from B5 to B10. WSF conducted </w:t>
      </w:r>
      <w:r>
        <w:rPr>
          <w:rFonts w:cs="Arial"/>
        </w:rPr>
        <w:t>testing and confirmed that B10 was not a causal factor.</w:t>
      </w:r>
      <w:r w:rsidRPr="005C1AF8">
        <w:rPr>
          <w:rFonts w:cs="Arial"/>
        </w:rPr>
        <w:t xml:space="preserve"> </w:t>
      </w:r>
      <w:r>
        <w:rPr>
          <w:rFonts w:cs="Arial"/>
        </w:rPr>
        <w:t xml:space="preserve">WSF reported no other biodiesel-related quality or performance </w:t>
      </w:r>
      <w:r w:rsidR="00DC7D9C">
        <w:rPr>
          <w:rFonts w:cs="Arial"/>
        </w:rPr>
        <w:t xml:space="preserve">concerns </w:t>
      </w:r>
      <w:r>
        <w:rPr>
          <w:rFonts w:cs="Arial"/>
        </w:rPr>
        <w:t>in 2020.</w:t>
      </w:r>
    </w:p>
    <w:p w14:paraId="6CE0BD61" w14:textId="77777777" w:rsidR="00012DE5" w:rsidRPr="00EE46DC" w:rsidRDefault="00012DE5" w:rsidP="00024BD3">
      <w:pPr>
        <w:pStyle w:val="ListParagraph"/>
        <w:numPr>
          <w:ilvl w:val="0"/>
          <w:numId w:val="0"/>
        </w:numPr>
        <w:spacing w:after="0"/>
        <w:ind w:left="720"/>
        <w:jc w:val="both"/>
        <w:rPr>
          <w:rFonts w:cs="Arial"/>
        </w:rPr>
      </w:pPr>
    </w:p>
    <w:p w14:paraId="04CE1D64" w14:textId="77777777" w:rsidR="00A2136E" w:rsidRPr="00757DD1" w:rsidRDefault="00CB62CC" w:rsidP="00024BD3">
      <w:pPr>
        <w:pStyle w:val="ListParagraph"/>
        <w:numPr>
          <w:ilvl w:val="0"/>
          <w:numId w:val="0"/>
        </w:numPr>
        <w:ind w:left="460"/>
        <w:jc w:val="both"/>
        <w:rPr>
          <w:rFonts w:cs="Arial"/>
        </w:rPr>
      </w:pPr>
      <w:r>
        <w:rPr>
          <w:noProof/>
        </w:rPr>
        <w:drawing>
          <wp:inline distT="0" distB="0" distL="0" distR="0" wp14:anchorId="6365BBBC" wp14:editId="76033CC2">
            <wp:extent cx="5172075" cy="2247900"/>
            <wp:effectExtent l="0" t="0" r="9525" b="0"/>
            <wp:docPr id="14" name="Chart 14" descr="Bar chart showing State Ferries Biodiesel Usage Percentages from 2009-2020. 2009: .6%.  2020: 1.3%. 2011: 2.7%. 2012: 2.8%. 2013: 4.0%. 2014: 4.2%. 2015: 4.0%. 2016: 4.3%. 2017: 4.7%. 2018: 4.5%. 2019: 6.4%. 2020: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4A2F36" w14:textId="77777777" w:rsidR="00CC13FB" w:rsidRDefault="00CC13FB" w:rsidP="00024BD3">
      <w:pPr>
        <w:pStyle w:val="Heading1"/>
        <w:spacing w:before="0"/>
        <w:jc w:val="both"/>
        <w:rPr>
          <w:rFonts w:cs="Arial"/>
          <w:smallCaps w:val="0"/>
          <w:sz w:val="24"/>
          <w:szCs w:val="24"/>
        </w:rPr>
      </w:pPr>
    </w:p>
    <w:p w14:paraId="23021910" w14:textId="77777777" w:rsidR="004B1DF0" w:rsidRPr="00443E9A" w:rsidRDefault="005C557A" w:rsidP="00024BD3">
      <w:pPr>
        <w:pStyle w:val="Heading1"/>
        <w:spacing w:before="0"/>
        <w:jc w:val="both"/>
        <w:rPr>
          <w:rFonts w:cs="Arial"/>
          <w:smallCaps w:val="0"/>
          <w:sz w:val="24"/>
          <w:szCs w:val="24"/>
        </w:rPr>
      </w:pPr>
      <w:r w:rsidRPr="00443E9A">
        <w:rPr>
          <w:rFonts w:cs="Arial"/>
          <w:smallCaps w:val="0"/>
          <w:sz w:val="24"/>
          <w:szCs w:val="24"/>
        </w:rPr>
        <w:t>Land Sector Use</w:t>
      </w:r>
    </w:p>
    <w:p w14:paraId="22884AC3" w14:textId="77777777" w:rsidR="005E0AE9" w:rsidRDefault="007A3F86" w:rsidP="00024BD3">
      <w:pPr>
        <w:pStyle w:val="BodyText"/>
        <w:jc w:val="both"/>
        <w:rPr>
          <w:rFonts w:cs="Arial"/>
        </w:rPr>
      </w:pPr>
      <w:r>
        <w:rPr>
          <w:rFonts w:cs="Arial"/>
        </w:rPr>
        <w:t>A</w:t>
      </w:r>
      <w:r w:rsidR="004B1DF0" w:rsidRPr="00A53E6D">
        <w:rPr>
          <w:rFonts w:cs="Arial"/>
        </w:rPr>
        <w:t xml:space="preserve">gency purchases of biodiesel </w:t>
      </w:r>
      <w:r w:rsidR="00532A3B">
        <w:rPr>
          <w:rFonts w:cs="Arial"/>
        </w:rPr>
        <w:t xml:space="preserve">for non-marine uses </w:t>
      </w:r>
      <w:r w:rsidR="004B1DF0" w:rsidRPr="00A53E6D">
        <w:rPr>
          <w:rFonts w:cs="Arial"/>
        </w:rPr>
        <w:t xml:space="preserve">totaled </w:t>
      </w:r>
      <w:r w:rsidR="00A837BA">
        <w:rPr>
          <w:rFonts w:cs="Arial"/>
        </w:rPr>
        <w:t>296,774</w:t>
      </w:r>
      <w:r w:rsidR="004B1DF0" w:rsidRPr="00A53E6D">
        <w:rPr>
          <w:rFonts w:cs="Arial"/>
          <w:color w:val="FF0000"/>
        </w:rPr>
        <w:t xml:space="preserve"> </w:t>
      </w:r>
      <w:r w:rsidR="004B1DF0" w:rsidRPr="00A53E6D">
        <w:rPr>
          <w:rFonts w:cs="Arial"/>
        </w:rPr>
        <w:t xml:space="preserve">gallons in </w:t>
      </w:r>
      <w:r w:rsidR="00FE262C" w:rsidRPr="00A53E6D">
        <w:rPr>
          <w:rFonts w:cs="Arial"/>
        </w:rPr>
        <w:t>20</w:t>
      </w:r>
      <w:r w:rsidR="00FE262C">
        <w:rPr>
          <w:rFonts w:cs="Arial"/>
        </w:rPr>
        <w:t>20</w:t>
      </w:r>
      <w:r w:rsidR="004B1DF0" w:rsidRPr="00A53E6D">
        <w:rPr>
          <w:rFonts w:cs="Arial"/>
        </w:rPr>
        <w:t xml:space="preserve">, </w:t>
      </w:r>
      <w:r>
        <w:rPr>
          <w:rFonts w:cs="Arial"/>
        </w:rPr>
        <w:t xml:space="preserve">about </w:t>
      </w:r>
      <w:r w:rsidR="00150960">
        <w:rPr>
          <w:rFonts w:cs="Arial"/>
        </w:rPr>
        <w:t>8.3</w:t>
      </w:r>
      <w:r w:rsidR="00292F2C">
        <w:rPr>
          <w:rFonts w:cs="Arial"/>
        </w:rPr>
        <w:t>%</w:t>
      </w:r>
      <w:r w:rsidR="00532A3B">
        <w:rPr>
          <w:rFonts w:cs="Arial"/>
        </w:rPr>
        <w:t xml:space="preserve"> of total diesel purchases</w:t>
      </w:r>
      <w:r w:rsidR="008671BC">
        <w:rPr>
          <w:rFonts w:cs="Arial"/>
        </w:rPr>
        <w:t xml:space="preserve">, </w:t>
      </w:r>
      <w:r w:rsidR="00150960">
        <w:rPr>
          <w:rFonts w:cs="Arial"/>
        </w:rPr>
        <w:t xml:space="preserve">down </w:t>
      </w:r>
      <w:r w:rsidR="008671BC">
        <w:rPr>
          <w:rFonts w:cs="Arial"/>
        </w:rPr>
        <w:t xml:space="preserve">from </w:t>
      </w:r>
      <w:r w:rsidR="00FE262C">
        <w:rPr>
          <w:rFonts w:cs="Arial"/>
        </w:rPr>
        <w:t>9.5</w:t>
      </w:r>
      <w:r w:rsidR="00292F2C">
        <w:rPr>
          <w:rFonts w:cs="Arial"/>
        </w:rPr>
        <w:t>%</w:t>
      </w:r>
      <w:r w:rsidR="008671BC">
        <w:rPr>
          <w:rFonts w:cs="Arial"/>
        </w:rPr>
        <w:t xml:space="preserve"> in 201</w:t>
      </w:r>
      <w:r w:rsidR="00FE262C">
        <w:rPr>
          <w:rFonts w:cs="Arial"/>
        </w:rPr>
        <w:t>9</w:t>
      </w:r>
      <w:r w:rsidR="004B1DF0" w:rsidRPr="00A53E6D">
        <w:rPr>
          <w:rFonts w:cs="Arial"/>
        </w:rPr>
        <w:t xml:space="preserve">. </w:t>
      </w:r>
      <w:r w:rsidR="004D44E0" w:rsidRPr="00A53E6D">
        <w:rPr>
          <w:rFonts w:cs="Arial"/>
        </w:rPr>
        <w:t xml:space="preserve">WSDOT </w:t>
      </w:r>
      <w:r w:rsidR="004B1DF0" w:rsidRPr="00A53E6D">
        <w:rPr>
          <w:rFonts w:cs="Arial"/>
        </w:rPr>
        <w:t xml:space="preserve">is the largest single </w:t>
      </w:r>
      <w:r w:rsidR="0001327E">
        <w:rPr>
          <w:rFonts w:cs="Arial"/>
        </w:rPr>
        <w:t>user</w:t>
      </w:r>
      <w:r w:rsidR="008671BC">
        <w:rPr>
          <w:rFonts w:cs="Arial"/>
        </w:rPr>
        <w:t xml:space="preserve"> other than WSF</w:t>
      </w:r>
      <w:r w:rsidR="0001327E">
        <w:rPr>
          <w:rFonts w:cs="Arial"/>
        </w:rPr>
        <w:t>, purchasing</w:t>
      </w:r>
      <w:r w:rsidR="004B1DF0" w:rsidRPr="00A53E6D">
        <w:rPr>
          <w:rFonts w:cs="Arial"/>
        </w:rPr>
        <w:t xml:space="preserve"> </w:t>
      </w:r>
      <w:r w:rsidR="00131566">
        <w:rPr>
          <w:rFonts w:cs="Arial"/>
        </w:rPr>
        <w:t>2.2</w:t>
      </w:r>
      <w:r w:rsidR="00FE262C">
        <w:rPr>
          <w:rFonts w:cs="Arial"/>
        </w:rPr>
        <w:t xml:space="preserve"> </w:t>
      </w:r>
      <w:r w:rsidR="004B1DF0" w:rsidRPr="00A53E6D">
        <w:rPr>
          <w:rFonts w:cs="Arial"/>
        </w:rPr>
        <w:t xml:space="preserve">million gallons </w:t>
      </w:r>
      <w:r w:rsidR="00C20A86">
        <w:rPr>
          <w:rFonts w:cs="Arial"/>
        </w:rPr>
        <w:t xml:space="preserve">of </w:t>
      </w:r>
      <w:r w:rsidR="00132D46">
        <w:rPr>
          <w:rFonts w:cs="Arial"/>
        </w:rPr>
        <w:t>fuel</w:t>
      </w:r>
      <w:r w:rsidR="00C20A86">
        <w:rPr>
          <w:rFonts w:cs="Arial"/>
        </w:rPr>
        <w:t xml:space="preserve"> </w:t>
      </w:r>
      <w:r w:rsidR="0001327E">
        <w:rPr>
          <w:rFonts w:cs="Arial"/>
        </w:rPr>
        <w:t xml:space="preserve">in </w:t>
      </w:r>
      <w:r w:rsidR="00A837BA">
        <w:rPr>
          <w:rFonts w:cs="Arial"/>
        </w:rPr>
        <w:t>2020</w:t>
      </w:r>
      <w:r w:rsidR="0001327E">
        <w:rPr>
          <w:rFonts w:cs="Arial"/>
        </w:rPr>
        <w:t>.</w:t>
      </w:r>
      <w:r w:rsidR="004B1DF0" w:rsidRPr="00A53E6D">
        <w:rPr>
          <w:rFonts w:cs="Arial"/>
        </w:rPr>
        <w:t xml:space="preserve"> </w:t>
      </w:r>
      <w:r w:rsidR="008D3C47">
        <w:rPr>
          <w:rFonts w:cs="Arial"/>
        </w:rPr>
        <w:t>Biodiesel comprised 12.</w:t>
      </w:r>
      <w:r w:rsidR="00131566">
        <w:rPr>
          <w:rFonts w:cs="Arial"/>
        </w:rPr>
        <w:t>6</w:t>
      </w:r>
      <w:r w:rsidR="00292F2C">
        <w:rPr>
          <w:rFonts w:cs="Arial"/>
        </w:rPr>
        <w:t>%</w:t>
      </w:r>
      <w:r w:rsidR="008671BC">
        <w:rPr>
          <w:rFonts w:cs="Arial"/>
        </w:rPr>
        <w:t xml:space="preserve"> of WSDOT purchases</w:t>
      </w:r>
      <w:r w:rsidR="00C20A86">
        <w:rPr>
          <w:rFonts w:cs="Arial"/>
        </w:rPr>
        <w:t xml:space="preserve">, </w:t>
      </w:r>
      <w:r w:rsidR="00A90AF6">
        <w:rPr>
          <w:rFonts w:cs="Arial"/>
        </w:rPr>
        <w:t xml:space="preserve">down from </w:t>
      </w:r>
      <w:r w:rsidR="00131566">
        <w:rPr>
          <w:rFonts w:cs="Arial"/>
        </w:rPr>
        <w:t>12.9</w:t>
      </w:r>
      <w:r w:rsidR="00292F2C">
        <w:rPr>
          <w:rFonts w:cs="Arial"/>
        </w:rPr>
        <w:t>%</w:t>
      </w:r>
      <w:r w:rsidR="008671BC">
        <w:rPr>
          <w:rFonts w:cs="Arial"/>
        </w:rPr>
        <w:t xml:space="preserve"> in </w:t>
      </w:r>
      <w:r w:rsidR="00131566">
        <w:rPr>
          <w:rFonts w:cs="Arial"/>
        </w:rPr>
        <w:t>2019</w:t>
      </w:r>
      <w:r w:rsidR="008671BC">
        <w:rPr>
          <w:rFonts w:cs="Arial"/>
        </w:rPr>
        <w:t>.</w:t>
      </w:r>
      <w:r w:rsidR="00CF0B63">
        <w:rPr>
          <w:rFonts w:cs="Arial"/>
        </w:rPr>
        <w:t xml:space="preserve"> </w:t>
      </w:r>
    </w:p>
    <w:p w14:paraId="61A8ED69" w14:textId="77777777" w:rsidR="0005292E" w:rsidRDefault="0005292E" w:rsidP="00024BD3">
      <w:pPr>
        <w:pStyle w:val="BodyText"/>
        <w:jc w:val="both"/>
        <w:rPr>
          <w:rFonts w:cs="Arial"/>
        </w:rPr>
      </w:pPr>
    </w:p>
    <w:tbl>
      <w:tblPr>
        <w:tblW w:w="8322" w:type="dxa"/>
        <w:tblInd w:w="612" w:type="dxa"/>
        <w:tblLook w:val="04A0" w:firstRow="1" w:lastRow="0" w:firstColumn="1" w:lastColumn="0" w:noHBand="0" w:noVBand="1"/>
        <w:tblCaption w:val="Land Sector Biodiesel Purchases in 2019"/>
        <w:tblDescription w:val="WSDOT purchased 2,319,664 gallons of diesel; 343,067 gallons of biodiesel; for a total of 2,662,731 gallons purchase. Biodiesel represented 12.9% of the total gallons purchased.&#10;Other Agencies purchased 1,129,806 gallons of diesel; 17,588 gallons of biodiesel; for a total of 1,147,394 gallons purchase. Biodiesel represented 1.5% of the total gallons purchased.&#10;The total gallons of diesel purchased in 2019 for the land sector equaled 3,449,470. The total gallons of biodiesel purchased in 2019 by the land sector equaled 360,655.  The grand total for the land sector was 3,810,125 gallons, of which 9.5% was biodiesel.&#10;The total gallons of diesel purchased in 2019 for the land sector equaled 3,449,470. The total gallons of biodiesel purchased in 2019 by the land sector equaled 360,655.  The grand total for the land sector was 3,810,125 gallons, of which 9.5% was biodiesel."/>
      </w:tblPr>
      <w:tblGrid>
        <w:gridCol w:w="1722"/>
        <w:gridCol w:w="1776"/>
        <w:gridCol w:w="1901"/>
        <w:gridCol w:w="1568"/>
        <w:gridCol w:w="1355"/>
      </w:tblGrid>
      <w:tr w:rsidR="00CC13FB" w14:paraId="47A9BC57" w14:textId="77777777" w:rsidTr="001D7744">
        <w:trPr>
          <w:trHeight w:val="315"/>
          <w:tblHeader/>
        </w:trPr>
        <w:tc>
          <w:tcPr>
            <w:tcW w:w="8322" w:type="dxa"/>
            <w:gridSpan w:val="5"/>
            <w:tcBorders>
              <w:top w:val="nil"/>
              <w:left w:val="nil"/>
              <w:bottom w:val="single" w:sz="8" w:space="0" w:color="000000"/>
              <w:right w:val="nil"/>
            </w:tcBorders>
            <w:shd w:val="clear" w:color="auto" w:fill="auto"/>
            <w:noWrap/>
            <w:vAlign w:val="center"/>
            <w:hideMark/>
          </w:tcPr>
          <w:p w14:paraId="0DEFE826" w14:textId="77777777" w:rsidR="00CC13FB" w:rsidRDefault="00CC13FB" w:rsidP="00024BD3">
            <w:pPr>
              <w:widowControl/>
              <w:autoSpaceDE/>
              <w:autoSpaceDN/>
              <w:adjustRightInd/>
              <w:jc w:val="both"/>
              <w:rPr>
                <w:rFonts w:cs="Arial"/>
                <w:b/>
                <w:bCs/>
                <w:color w:val="000000"/>
                <w:sz w:val="20"/>
                <w:szCs w:val="20"/>
              </w:rPr>
            </w:pPr>
            <w:r>
              <w:rPr>
                <w:rFonts w:cs="Arial"/>
                <w:b/>
                <w:bCs/>
                <w:color w:val="000000"/>
                <w:sz w:val="20"/>
                <w:szCs w:val="20"/>
              </w:rPr>
              <w:t>Land Sector Biodiesel Purchases: 2020</w:t>
            </w:r>
          </w:p>
        </w:tc>
      </w:tr>
      <w:tr w:rsidR="00CC13FB" w14:paraId="11E25353" w14:textId="77777777" w:rsidTr="001D7744">
        <w:trPr>
          <w:trHeight w:val="315"/>
          <w:tblHeader/>
        </w:trPr>
        <w:tc>
          <w:tcPr>
            <w:tcW w:w="1722" w:type="dxa"/>
            <w:tcBorders>
              <w:top w:val="nil"/>
              <w:left w:val="single" w:sz="8" w:space="0" w:color="000000"/>
              <w:bottom w:val="single" w:sz="8" w:space="0" w:color="000000"/>
              <w:right w:val="single" w:sz="8" w:space="0" w:color="000000"/>
            </w:tcBorders>
            <w:shd w:val="clear" w:color="auto" w:fill="auto"/>
            <w:noWrap/>
            <w:vAlign w:val="center"/>
            <w:hideMark/>
          </w:tcPr>
          <w:p w14:paraId="55AB3AD5" w14:textId="77777777" w:rsidR="00CC13FB" w:rsidRDefault="00CC13FB" w:rsidP="00024BD3">
            <w:pPr>
              <w:jc w:val="both"/>
              <w:rPr>
                <w:rFonts w:cs="Arial"/>
                <w:b/>
                <w:bCs/>
                <w:color w:val="000000"/>
                <w:sz w:val="20"/>
                <w:szCs w:val="20"/>
              </w:rPr>
            </w:pPr>
            <w:r>
              <w:rPr>
                <w:rFonts w:cs="Arial"/>
                <w:b/>
                <w:bCs/>
                <w:color w:val="000000"/>
                <w:sz w:val="20"/>
                <w:szCs w:val="20"/>
              </w:rPr>
              <w:t>Agency</w:t>
            </w:r>
          </w:p>
        </w:tc>
        <w:tc>
          <w:tcPr>
            <w:tcW w:w="1776" w:type="dxa"/>
            <w:tcBorders>
              <w:top w:val="nil"/>
              <w:left w:val="nil"/>
              <w:bottom w:val="single" w:sz="8" w:space="0" w:color="000000"/>
              <w:right w:val="single" w:sz="8" w:space="0" w:color="000000"/>
            </w:tcBorders>
            <w:shd w:val="clear" w:color="auto" w:fill="auto"/>
            <w:noWrap/>
            <w:vAlign w:val="center"/>
            <w:hideMark/>
          </w:tcPr>
          <w:p w14:paraId="24FCE66E" w14:textId="77777777" w:rsidR="00CC13FB" w:rsidRDefault="00CC13FB" w:rsidP="00024BD3">
            <w:pPr>
              <w:jc w:val="both"/>
              <w:rPr>
                <w:rFonts w:cs="Arial"/>
                <w:b/>
                <w:bCs/>
                <w:color w:val="000000"/>
                <w:sz w:val="20"/>
                <w:szCs w:val="20"/>
              </w:rPr>
            </w:pPr>
            <w:r>
              <w:rPr>
                <w:rFonts w:cs="Arial"/>
                <w:b/>
                <w:bCs/>
                <w:color w:val="000000"/>
                <w:sz w:val="20"/>
                <w:szCs w:val="20"/>
              </w:rPr>
              <w:t>Diesel Gallons</w:t>
            </w:r>
          </w:p>
        </w:tc>
        <w:tc>
          <w:tcPr>
            <w:tcW w:w="1901" w:type="dxa"/>
            <w:tcBorders>
              <w:top w:val="nil"/>
              <w:left w:val="nil"/>
              <w:bottom w:val="single" w:sz="8" w:space="0" w:color="000000"/>
              <w:right w:val="single" w:sz="8" w:space="0" w:color="000000"/>
            </w:tcBorders>
            <w:shd w:val="clear" w:color="auto" w:fill="auto"/>
            <w:noWrap/>
            <w:vAlign w:val="center"/>
            <w:hideMark/>
          </w:tcPr>
          <w:p w14:paraId="1520D6C4" w14:textId="77777777" w:rsidR="00CC13FB" w:rsidRDefault="00CC13FB" w:rsidP="00024BD3">
            <w:pPr>
              <w:jc w:val="both"/>
              <w:rPr>
                <w:rFonts w:cs="Arial"/>
                <w:b/>
                <w:bCs/>
                <w:color w:val="000000"/>
                <w:sz w:val="20"/>
                <w:szCs w:val="20"/>
              </w:rPr>
            </w:pPr>
            <w:r>
              <w:rPr>
                <w:rFonts w:cs="Arial"/>
                <w:b/>
                <w:bCs/>
                <w:color w:val="000000"/>
                <w:sz w:val="20"/>
                <w:szCs w:val="20"/>
              </w:rPr>
              <w:t>Biodiesel Gallons</w:t>
            </w:r>
          </w:p>
        </w:tc>
        <w:tc>
          <w:tcPr>
            <w:tcW w:w="1568" w:type="dxa"/>
            <w:tcBorders>
              <w:top w:val="nil"/>
              <w:left w:val="nil"/>
              <w:bottom w:val="single" w:sz="8" w:space="0" w:color="000000"/>
              <w:right w:val="single" w:sz="8" w:space="0" w:color="000000"/>
            </w:tcBorders>
            <w:shd w:val="clear" w:color="auto" w:fill="auto"/>
            <w:noWrap/>
            <w:vAlign w:val="center"/>
            <w:hideMark/>
          </w:tcPr>
          <w:p w14:paraId="27DBD7A6" w14:textId="77777777" w:rsidR="00CC13FB" w:rsidRDefault="00CC13FB" w:rsidP="00024BD3">
            <w:pPr>
              <w:jc w:val="both"/>
              <w:rPr>
                <w:rFonts w:cs="Arial"/>
                <w:b/>
                <w:bCs/>
                <w:color w:val="000000"/>
                <w:sz w:val="20"/>
                <w:szCs w:val="20"/>
              </w:rPr>
            </w:pPr>
            <w:r>
              <w:rPr>
                <w:rFonts w:cs="Arial"/>
                <w:b/>
                <w:bCs/>
                <w:color w:val="000000"/>
                <w:sz w:val="20"/>
                <w:szCs w:val="20"/>
              </w:rPr>
              <w:t>Total Gallons</w:t>
            </w:r>
          </w:p>
        </w:tc>
        <w:tc>
          <w:tcPr>
            <w:tcW w:w="0" w:type="auto"/>
            <w:tcBorders>
              <w:top w:val="nil"/>
              <w:left w:val="nil"/>
              <w:bottom w:val="single" w:sz="8" w:space="0" w:color="000000"/>
              <w:right w:val="single" w:sz="8" w:space="0" w:color="000000"/>
            </w:tcBorders>
            <w:shd w:val="clear" w:color="auto" w:fill="auto"/>
            <w:noWrap/>
            <w:vAlign w:val="center"/>
            <w:hideMark/>
          </w:tcPr>
          <w:p w14:paraId="37ECC8DB" w14:textId="77777777" w:rsidR="00CC13FB" w:rsidRDefault="00CC13FB" w:rsidP="00024BD3">
            <w:pPr>
              <w:jc w:val="both"/>
              <w:rPr>
                <w:rFonts w:cs="Arial"/>
                <w:b/>
                <w:bCs/>
                <w:color w:val="000000"/>
                <w:sz w:val="20"/>
                <w:szCs w:val="20"/>
              </w:rPr>
            </w:pPr>
            <w:r>
              <w:rPr>
                <w:rFonts w:cs="Arial"/>
                <w:b/>
                <w:bCs/>
                <w:color w:val="000000"/>
                <w:sz w:val="20"/>
                <w:szCs w:val="20"/>
              </w:rPr>
              <w:t>Biodiesel %</w:t>
            </w:r>
          </w:p>
        </w:tc>
      </w:tr>
      <w:tr w:rsidR="00CC13FB" w14:paraId="6F99640D" w14:textId="77777777" w:rsidTr="001D7744">
        <w:trPr>
          <w:trHeight w:val="315"/>
          <w:tblHeader/>
        </w:trPr>
        <w:tc>
          <w:tcPr>
            <w:tcW w:w="1722" w:type="dxa"/>
            <w:tcBorders>
              <w:top w:val="nil"/>
              <w:left w:val="single" w:sz="8" w:space="0" w:color="000000"/>
              <w:bottom w:val="single" w:sz="8" w:space="0" w:color="000000"/>
              <w:right w:val="single" w:sz="8" w:space="0" w:color="000000"/>
            </w:tcBorders>
            <w:shd w:val="clear" w:color="auto" w:fill="auto"/>
            <w:noWrap/>
            <w:vAlign w:val="center"/>
            <w:hideMark/>
          </w:tcPr>
          <w:p w14:paraId="32A361DB" w14:textId="77777777" w:rsidR="00CC13FB" w:rsidRDefault="00CC13FB" w:rsidP="00024BD3">
            <w:pPr>
              <w:jc w:val="both"/>
              <w:rPr>
                <w:rFonts w:cs="Arial"/>
                <w:color w:val="000000"/>
                <w:sz w:val="20"/>
                <w:szCs w:val="20"/>
              </w:rPr>
            </w:pPr>
            <w:r>
              <w:rPr>
                <w:rFonts w:cs="Arial"/>
                <w:color w:val="000000"/>
                <w:sz w:val="20"/>
                <w:szCs w:val="20"/>
              </w:rPr>
              <w:t>WSDOT</w:t>
            </w:r>
          </w:p>
        </w:tc>
        <w:tc>
          <w:tcPr>
            <w:tcW w:w="1776" w:type="dxa"/>
            <w:tcBorders>
              <w:top w:val="nil"/>
              <w:left w:val="nil"/>
              <w:bottom w:val="single" w:sz="8" w:space="0" w:color="auto"/>
              <w:right w:val="single" w:sz="8" w:space="0" w:color="000000"/>
            </w:tcBorders>
            <w:shd w:val="clear" w:color="auto" w:fill="auto"/>
            <w:noWrap/>
            <w:vAlign w:val="center"/>
            <w:hideMark/>
          </w:tcPr>
          <w:p w14:paraId="40EDEC12" w14:textId="77777777" w:rsidR="00CC13FB" w:rsidRDefault="00CC13FB" w:rsidP="00024BD3">
            <w:pPr>
              <w:jc w:val="both"/>
              <w:rPr>
                <w:rFonts w:cs="Arial"/>
                <w:color w:val="000000"/>
                <w:sz w:val="20"/>
                <w:szCs w:val="20"/>
              </w:rPr>
            </w:pPr>
            <w:r>
              <w:rPr>
                <w:rFonts w:cs="Arial"/>
                <w:color w:val="000000"/>
                <w:sz w:val="20"/>
                <w:szCs w:val="20"/>
              </w:rPr>
              <w:t>1,966,508</w:t>
            </w:r>
          </w:p>
        </w:tc>
        <w:tc>
          <w:tcPr>
            <w:tcW w:w="1901" w:type="dxa"/>
            <w:tcBorders>
              <w:top w:val="nil"/>
              <w:left w:val="nil"/>
              <w:bottom w:val="single" w:sz="8" w:space="0" w:color="auto"/>
              <w:right w:val="single" w:sz="8" w:space="0" w:color="000000"/>
            </w:tcBorders>
            <w:shd w:val="clear" w:color="auto" w:fill="auto"/>
            <w:noWrap/>
            <w:vAlign w:val="center"/>
            <w:hideMark/>
          </w:tcPr>
          <w:p w14:paraId="02863C65" w14:textId="77777777" w:rsidR="00CC13FB" w:rsidRDefault="00CC13FB" w:rsidP="00024BD3">
            <w:pPr>
              <w:jc w:val="both"/>
              <w:rPr>
                <w:rFonts w:cs="Arial"/>
                <w:color w:val="000000"/>
                <w:sz w:val="20"/>
                <w:szCs w:val="20"/>
              </w:rPr>
            </w:pPr>
            <w:r>
              <w:rPr>
                <w:rFonts w:cs="Arial"/>
                <w:color w:val="000000"/>
                <w:sz w:val="20"/>
                <w:szCs w:val="20"/>
              </w:rPr>
              <w:t>282,960</w:t>
            </w:r>
          </w:p>
        </w:tc>
        <w:tc>
          <w:tcPr>
            <w:tcW w:w="1568" w:type="dxa"/>
            <w:tcBorders>
              <w:top w:val="nil"/>
              <w:left w:val="nil"/>
              <w:bottom w:val="single" w:sz="8" w:space="0" w:color="auto"/>
              <w:right w:val="single" w:sz="8" w:space="0" w:color="000000"/>
            </w:tcBorders>
            <w:shd w:val="clear" w:color="auto" w:fill="auto"/>
            <w:noWrap/>
            <w:vAlign w:val="center"/>
            <w:hideMark/>
          </w:tcPr>
          <w:p w14:paraId="72C79799" w14:textId="77777777" w:rsidR="00CC13FB" w:rsidRDefault="00CC13FB" w:rsidP="00024BD3">
            <w:pPr>
              <w:jc w:val="both"/>
              <w:rPr>
                <w:rFonts w:cs="Arial"/>
                <w:color w:val="000000"/>
                <w:sz w:val="20"/>
                <w:szCs w:val="20"/>
              </w:rPr>
            </w:pPr>
            <w:r>
              <w:rPr>
                <w:rFonts w:cs="Arial"/>
                <w:color w:val="000000"/>
                <w:sz w:val="20"/>
                <w:szCs w:val="20"/>
              </w:rPr>
              <w:t>2,249,468</w:t>
            </w:r>
          </w:p>
        </w:tc>
        <w:tc>
          <w:tcPr>
            <w:tcW w:w="0" w:type="auto"/>
            <w:tcBorders>
              <w:top w:val="nil"/>
              <w:left w:val="nil"/>
              <w:bottom w:val="single" w:sz="8" w:space="0" w:color="auto"/>
              <w:right w:val="single" w:sz="8" w:space="0" w:color="000000"/>
            </w:tcBorders>
            <w:shd w:val="clear" w:color="auto" w:fill="auto"/>
            <w:noWrap/>
            <w:vAlign w:val="center"/>
            <w:hideMark/>
          </w:tcPr>
          <w:p w14:paraId="6E0FCF87" w14:textId="77777777" w:rsidR="00CC13FB" w:rsidRDefault="00CC13FB" w:rsidP="00024BD3">
            <w:pPr>
              <w:jc w:val="both"/>
              <w:rPr>
                <w:rFonts w:cs="Arial"/>
                <w:color w:val="000000"/>
                <w:sz w:val="20"/>
                <w:szCs w:val="20"/>
              </w:rPr>
            </w:pPr>
            <w:r>
              <w:rPr>
                <w:rFonts w:cs="Arial"/>
                <w:color w:val="000000"/>
                <w:sz w:val="20"/>
                <w:szCs w:val="20"/>
              </w:rPr>
              <w:t>12.6%</w:t>
            </w:r>
          </w:p>
        </w:tc>
      </w:tr>
      <w:tr w:rsidR="00CC13FB" w14:paraId="221E01AB" w14:textId="77777777" w:rsidTr="001D7744">
        <w:trPr>
          <w:trHeight w:val="315"/>
          <w:tblHeader/>
        </w:trPr>
        <w:tc>
          <w:tcPr>
            <w:tcW w:w="1722" w:type="dxa"/>
            <w:tcBorders>
              <w:top w:val="nil"/>
              <w:left w:val="single" w:sz="8" w:space="0" w:color="000000"/>
              <w:bottom w:val="single" w:sz="8" w:space="0" w:color="000000"/>
              <w:right w:val="single" w:sz="8" w:space="0" w:color="auto"/>
            </w:tcBorders>
            <w:shd w:val="clear" w:color="auto" w:fill="auto"/>
            <w:noWrap/>
            <w:vAlign w:val="center"/>
            <w:hideMark/>
          </w:tcPr>
          <w:p w14:paraId="6AA04A38" w14:textId="77777777" w:rsidR="00CC13FB" w:rsidRDefault="00CC13FB" w:rsidP="00024BD3">
            <w:pPr>
              <w:jc w:val="both"/>
              <w:rPr>
                <w:rFonts w:cs="Arial"/>
                <w:color w:val="000000"/>
                <w:sz w:val="20"/>
                <w:szCs w:val="20"/>
              </w:rPr>
            </w:pPr>
            <w:r>
              <w:rPr>
                <w:rFonts w:cs="Arial"/>
                <w:color w:val="000000"/>
                <w:sz w:val="20"/>
                <w:szCs w:val="20"/>
              </w:rPr>
              <w:t>Other Agencies</w:t>
            </w:r>
          </w:p>
        </w:tc>
        <w:tc>
          <w:tcPr>
            <w:tcW w:w="1776" w:type="dxa"/>
            <w:tcBorders>
              <w:top w:val="nil"/>
              <w:left w:val="nil"/>
              <w:bottom w:val="single" w:sz="8" w:space="0" w:color="auto"/>
              <w:right w:val="single" w:sz="8" w:space="0" w:color="auto"/>
            </w:tcBorders>
            <w:shd w:val="clear" w:color="auto" w:fill="auto"/>
            <w:noWrap/>
            <w:vAlign w:val="center"/>
            <w:hideMark/>
          </w:tcPr>
          <w:p w14:paraId="224C3E28" w14:textId="77777777" w:rsidR="00CC13FB" w:rsidRDefault="00CC13FB" w:rsidP="00024BD3">
            <w:pPr>
              <w:jc w:val="both"/>
              <w:rPr>
                <w:rFonts w:cs="Arial"/>
                <w:color w:val="000000"/>
                <w:sz w:val="20"/>
                <w:szCs w:val="20"/>
              </w:rPr>
            </w:pPr>
            <w:r>
              <w:rPr>
                <w:rFonts w:cs="Arial"/>
                <w:color w:val="000000"/>
                <w:sz w:val="20"/>
                <w:szCs w:val="20"/>
              </w:rPr>
              <w:t>1,292,924</w:t>
            </w:r>
          </w:p>
        </w:tc>
        <w:tc>
          <w:tcPr>
            <w:tcW w:w="1901" w:type="dxa"/>
            <w:tcBorders>
              <w:top w:val="nil"/>
              <w:left w:val="nil"/>
              <w:bottom w:val="single" w:sz="8" w:space="0" w:color="auto"/>
              <w:right w:val="single" w:sz="8" w:space="0" w:color="auto"/>
            </w:tcBorders>
            <w:shd w:val="clear" w:color="auto" w:fill="auto"/>
            <w:noWrap/>
            <w:vAlign w:val="center"/>
            <w:hideMark/>
          </w:tcPr>
          <w:p w14:paraId="61F94904" w14:textId="77777777" w:rsidR="00CC13FB" w:rsidRDefault="00CC13FB" w:rsidP="00024BD3">
            <w:pPr>
              <w:jc w:val="both"/>
              <w:rPr>
                <w:rFonts w:cs="Arial"/>
                <w:color w:val="000000"/>
                <w:sz w:val="20"/>
                <w:szCs w:val="20"/>
              </w:rPr>
            </w:pPr>
            <w:r>
              <w:rPr>
                <w:rFonts w:cs="Arial"/>
                <w:color w:val="000000"/>
                <w:sz w:val="20"/>
                <w:szCs w:val="20"/>
              </w:rPr>
              <w:t>13,814</w:t>
            </w:r>
          </w:p>
        </w:tc>
        <w:tc>
          <w:tcPr>
            <w:tcW w:w="1568" w:type="dxa"/>
            <w:tcBorders>
              <w:top w:val="nil"/>
              <w:left w:val="nil"/>
              <w:bottom w:val="single" w:sz="8" w:space="0" w:color="auto"/>
              <w:right w:val="single" w:sz="8" w:space="0" w:color="auto"/>
            </w:tcBorders>
            <w:shd w:val="clear" w:color="auto" w:fill="auto"/>
            <w:noWrap/>
            <w:vAlign w:val="center"/>
            <w:hideMark/>
          </w:tcPr>
          <w:p w14:paraId="3372F90B" w14:textId="77777777" w:rsidR="00CC13FB" w:rsidRDefault="00CC13FB" w:rsidP="00024BD3">
            <w:pPr>
              <w:jc w:val="both"/>
              <w:rPr>
                <w:rFonts w:cs="Arial"/>
                <w:color w:val="000000"/>
                <w:sz w:val="20"/>
                <w:szCs w:val="20"/>
              </w:rPr>
            </w:pPr>
            <w:r>
              <w:rPr>
                <w:rFonts w:cs="Arial"/>
                <w:color w:val="000000"/>
                <w:sz w:val="20"/>
                <w:szCs w:val="20"/>
              </w:rPr>
              <w:t>1,306,737</w:t>
            </w:r>
          </w:p>
        </w:tc>
        <w:tc>
          <w:tcPr>
            <w:tcW w:w="0" w:type="auto"/>
            <w:tcBorders>
              <w:top w:val="nil"/>
              <w:left w:val="nil"/>
              <w:bottom w:val="single" w:sz="8" w:space="0" w:color="auto"/>
              <w:right w:val="single" w:sz="8" w:space="0" w:color="000000"/>
            </w:tcBorders>
            <w:shd w:val="clear" w:color="auto" w:fill="auto"/>
            <w:noWrap/>
            <w:vAlign w:val="center"/>
            <w:hideMark/>
          </w:tcPr>
          <w:p w14:paraId="5CC8E5A0" w14:textId="77777777" w:rsidR="00CC13FB" w:rsidRDefault="00CC13FB" w:rsidP="00024BD3">
            <w:pPr>
              <w:jc w:val="both"/>
              <w:rPr>
                <w:rFonts w:cs="Arial"/>
                <w:color w:val="000000"/>
                <w:sz w:val="20"/>
                <w:szCs w:val="20"/>
              </w:rPr>
            </w:pPr>
            <w:r>
              <w:rPr>
                <w:rFonts w:cs="Arial"/>
                <w:color w:val="000000"/>
                <w:sz w:val="20"/>
                <w:szCs w:val="20"/>
              </w:rPr>
              <w:t>1.1%</w:t>
            </w:r>
          </w:p>
        </w:tc>
      </w:tr>
      <w:tr w:rsidR="00CC13FB" w14:paraId="28D87DC6" w14:textId="77777777" w:rsidTr="001D7744">
        <w:trPr>
          <w:trHeight w:val="315"/>
          <w:tblHeader/>
        </w:trPr>
        <w:tc>
          <w:tcPr>
            <w:tcW w:w="1722" w:type="dxa"/>
            <w:tcBorders>
              <w:top w:val="nil"/>
              <w:left w:val="single" w:sz="8" w:space="0" w:color="000000"/>
              <w:bottom w:val="single" w:sz="8" w:space="0" w:color="000000"/>
              <w:right w:val="single" w:sz="8" w:space="0" w:color="auto"/>
            </w:tcBorders>
            <w:shd w:val="clear" w:color="auto" w:fill="auto"/>
            <w:noWrap/>
            <w:vAlign w:val="center"/>
            <w:hideMark/>
          </w:tcPr>
          <w:p w14:paraId="7432CF17" w14:textId="77777777" w:rsidR="00CC13FB" w:rsidRDefault="00CC13FB">
            <w:pPr>
              <w:jc w:val="both"/>
              <w:rPr>
                <w:rFonts w:cs="Arial"/>
                <w:b/>
                <w:bCs/>
                <w:color w:val="000000"/>
                <w:sz w:val="20"/>
                <w:szCs w:val="20"/>
              </w:rPr>
            </w:pPr>
            <w:r>
              <w:rPr>
                <w:rFonts w:cs="Arial"/>
                <w:b/>
                <w:bCs/>
                <w:color w:val="000000"/>
                <w:sz w:val="20"/>
                <w:szCs w:val="20"/>
              </w:rPr>
              <w:t>Total</w:t>
            </w:r>
          </w:p>
        </w:tc>
        <w:tc>
          <w:tcPr>
            <w:tcW w:w="1776" w:type="dxa"/>
            <w:tcBorders>
              <w:top w:val="nil"/>
              <w:left w:val="nil"/>
              <w:bottom w:val="single" w:sz="8" w:space="0" w:color="auto"/>
              <w:right w:val="single" w:sz="8" w:space="0" w:color="auto"/>
            </w:tcBorders>
            <w:shd w:val="clear" w:color="auto" w:fill="auto"/>
            <w:noWrap/>
            <w:vAlign w:val="center"/>
            <w:hideMark/>
          </w:tcPr>
          <w:p w14:paraId="5C3F9A9E" w14:textId="77777777" w:rsidR="00CC13FB" w:rsidRDefault="00CC13FB" w:rsidP="00024BD3">
            <w:pPr>
              <w:jc w:val="both"/>
              <w:rPr>
                <w:rFonts w:cs="Arial"/>
                <w:color w:val="000000"/>
                <w:sz w:val="20"/>
                <w:szCs w:val="20"/>
              </w:rPr>
            </w:pPr>
            <w:r>
              <w:rPr>
                <w:rFonts w:cs="Arial"/>
                <w:color w:val="000000"/>
                <w:sz w:val="20"/>
                <w:szCs w:val="20"/>
              </w:rPr>
              <w:t>3,259,432</w:t>
            </w:r>
          </w:p>
        </w:tc>
        <w:tc>
          <w:tcPr>
            <w:tcW w:w="1901" w:type="dxa"/>
            <w:tcBorders>
              <w:top w:val="nil"/>
              <w:left w:val="nil"/>
              <w:bottom w:val="single" w:sz="8" w:space="0" w:color="auto"/>
              <w:right w:val="single" w:sz="8" w:space="0" w:color="auto"/>
            </w:tcBorders>
            <w:shd w:val="clear" w:color="auto" w:fill="auto"/>
            <w:noWrap/>
            <w:vAlign w:val="center"/>
            <w:hideMark/>
          </w:tcPr>
          <w:p w14:paraId="0F1B8395" w14:textId="77777777" w:rsidR="00CC13FB" w:rsidRDefault="00CC13FB" w:rsidP="00024BD3">
            <w:pPr>
              <w:jc w:val="both"/>
              <w:rPr>
                <w:rFonts w:cs="Arial"/>
                <w:color w:val="000000"/>
                <w:sz w:val="20"/>
                <w:szCs w:val="20"/>
              </w:rPr>
            </w:pPr>
            <w:r>
              <w:rPr>
                <w:rFonts w:cs="Arial"/>
                <w:color w:val="000000"/>
                <w:sz w:val="20"/>
                <w:szCs w:val="20"/>
              </w:rPr>
              <w:t>296,774</w:t>
            </w:r>
          </w:p>
        </w:tc>
        <w:tc>
          <w:tcPr>
            <w:tcW w:w="1568" w:type="dxa"/>
            <w:tcBorders>
              <w:top w:val="nil"/>
              <w:left w:val="nil"/>
              <w:bottom w:val="single" w:sz="8" w:space="0" w:color="auto"/>
              <w:right w:val="single" w:sz="8" w:space="0" w:color="auto"/>
            </w:tcBorders>
            <w:shd w:val="clear" w:color="auto" w:fill="auto"/>
            <w:noWrap/>
            <w:vAlign w:val="center"/>
            <w:hideMark/>
          </w:tcPr>
          <w:p w14:paraId="2D9398FD" w14:textId="77777777" w:rsidR="00CC13FB" w:rsidRDefault="00CC13FB" w:rsidP="00024BD3">
            <w:pPr>
              <w:jc w:val="both"/>
              <w:rPr>
                <w:rFonts w:cs="Arial"/>
                <w:color w:val="000000"/>
                <w:sz w:val="20"/>
                <w:szCs w:val="20"/>
              </w:rPr>
            </w:pPr>
            <w:r>
              <w:rPr>
                <w:rFonts w:cs="Arial"/>
                <w:color w:val="000000"/>
                <w:sz w:val="20"/>
                <w:szCs w:val="20"/>
              </w:rPr>
              <w:t>3,556,205</w:t>
            </w:r>
          </w:p>
        </w:tc>
        <w:tc>
          <w:tcPr>
            <w:tcW w:w="0" w:type="auto"/>
            <w:tcBorders>
              <w:top w:val="nil"/>
              <w:left w:val="nil"/>
              <w:bottom w:val="single" w:sz="8" w:space="0" w:color="auto"/>
              <w:right w:val="single" w:sz="8" w:space="0" w:color="000000"/>
            </w:tcBorders>
            <w:shd w:val="clear" w:color="auto" w:fill="auto"/>
            <w:noWrap/>
            <w:vAlign w:val="center"/>
            <w:hideMark/>
          </w:tcPr>
          <w:p w14:paraId="1260DBAF" w14:textId="77777777" w:rsidR="00CC13FB" w:rsidRDefault="00CC13FB" w:rsidP="00024BD3">
            <w:pPr>
              <w:jc w:val="both"/>
              <w:rPr>
                <w:rFonts w:cs="Arial"/>
                <w:color w:val="000000"/>
                <w:sz w:val="20"/>
                <w:szCs w:val="20"/>
              </w:rPr>
            </w:pPr>
            <w:r>
              <w:rPr>
                <w:rFonts w:cs="Arial"/>
                <w:color w:val="000000"/>
                <w:sz w:val="20"/>
                <w:szCs w:val="20"/>
              </w:rPr>
              <w:t>8.3%</w:t>
            </w:r>
          </w:p>
        </w:tc>
      </w:tr>
    </w:tbl>
    <w:p w14:paraId="145DED6C" w14:textId="77777777" w:rsidR="004B1DF0" w:rsidRPr="00400F29" w:rsidRDefault="004B1DF0" w:rsidP="00024BD3">
      <w:pPr>
        <w:pStyle w:val="BodyText"/>
        <w:jc w:val="both"/>
        <w:rPr>
          <w:rFonts w:cs="Arial"/>
          <w:sz w:val="16"/>
          <w:szCs w:val="16"/>
        </w:rPr>
      </w:pPr>
    </w:p>
    <w:p w14:paraId="619B182E" w14:textId="77777777" w:rsidR="00F054A3" w:rsidRDefault="00F054A3" w:rsidP="00024BD3">
      <w:pPr>
        <w:pStyle w:val="BodyText"/>
        <w:jc w:val="both"/>
        <w:rPr>
          <w:rFonts w:cs="Arial"/>
        </w:rPr>
      </w:pPr>
    </w:p>
    <w:p w14:paraId="726A0F90" w14:textId="1337E00D" w:rsidR="008671BC" w:rsidRDefault="008671BC" w:rsidP="00024BD3">
      <w:pPr>
        <w:pStyle w:val="BodyText"/>
        <w:jc w:val="both"/>
        <w:rPr>
          <w:rFonts w:cs="Arial"/>
        </w:rPr>
      </w:pPr>
      <w:r w:rsidRPr="00A53E6D">
        <w:rPr>
          <w:rFonts w:cs="Arial"/>
        </w:rPr>
        <w:t xml:space="preserve">Of the </w:t>
      </w:r>
      <w:r w:rsidR="00CC13FB">
        <w:rPr>
          <w:rFonts w:cs="Arial"/>
        </w:rPr>
        <w:t>18</w:t>
      </w:r>
      <w:r w:rsidR="00FE262C">
        <w:rPr>
          <w:rFonts w:cs="Arial"/>
        </w:rPr>
        <w:t xml:space="preserve"> </w:t>
      </w:r>
      <w:r w:rsidRPr="00A53E6D">
        <w:rPr>
          <w:rFonts w:cs="Arial"/>
        </w:rPr>
        <w:t xml:space="preserve">other agencies </w:t>
      </w:r>
      <w:r>
        <w:rPr>
          <w:rFonts w:cs="Arial"/>
        </w:rPr>
        <w:t xml:space="preserve">and universities </w:t>
      </w:r>
      <w:r w:rsidR="0019517D">
        <w:rPr>
          <w:rFonts w:cs="Arial"/>
        </w:rPr>
        <w:t>o</w:t>
      </w:r>
      <w:r w:rsidRPr="00A53E6D">
        <w:rPr>
          <w:rFonts w:cs="Arial"/>
        </w:rPr>
        <w:t xml:space="preserve">nly </w:t>
      </w:r>
      <w:r>
        <w:rPr>
          <w:rFonts w:cs="Arial"/>
        </w:rPr>
        <w:t xml:space="preserve">Corrections, </w:t>
      </w:r>
      <w:r w:rsidR="0019517D">
        <w:rPr>
          <w:rFonts w:cs="Arial"/>
        </w:rPr>
        <w:t xml:space="preserve">Social and Health Services, </w:t>
      </w:r>
      <w:r>
        <w:rPr>
          <w:rFonts w:cs="Arial"/>
        </w:rPr>
        <w:t>Natural Resources,</w:t>
      </w:r>
      <w:r w:rsidR="0019517D">
        <w:rPr>
          <w:rFonts w:cs="Arial"/>
        </w:rPr>
        <w:t xml:space="preserve"> </w:t>
      </w:r>
      <w:r>
        <w:rPr>
          <w:rFonts w:cs="Arial"/>
        </w:rPr>
        <w:t>Fish and Wildlife</w:t>
      </w:r>
      <w:r w:rsidR="00CC13FB">
        <w:rPr>
          <w:rFonts w:cs="Arial"/>
        </w:rPr>
        <w:t>, and University of Washington</w:t>
      </w:r>
      <w:r>
        <w:rPr>
          <w:rFonts w:cs="Arial"/>
        </w:rPr>
        <w:t xml:space="preserve"> purchased biodiesel</w:t>
      </w:r>
      <w:r w:rsidR="00F30392">
        <w:rPr>
          <w:rFonts w:cs="Arial"/>
        </w:rPr>
        <w:t xml:space="preserve"> during the year.</w:t>
      </w:r>
    </w:p>
    <w:p w14:paraId="69E40484" w14:textId="77777777" w:rsidR="00694E5A" w:rsidRDefault="00694E5A" w:rsidP="00024BD3">
      <w:pPr>
        <w:pStyle w:val="BodyText"/>
        <w:jc w:val="both"/>
        <w:rPr>
          <w:rFonts w:cs="Arial"/>
        </w:rPr>
      </w:pPr>
    </w:p>
    <w:p w14:paraId="6B8E29DF" w14:textId="77777777" w:rsidR="00694E5A" w:rsidRDefault="0022412B" w:rsidP="00024BD3">
      <w:pPr>
        <w:pStyle w:val="BodyText"/>
        <w:jc w:val="both"/>
        <w:rPr>
          <w:rFonts w:cs="Arial"/>
        </w:rPr>
      </w:pPr>
      <w:r w:rsidRPr="0022412B">
        <w:rPr>
          <w:noProof/>
        </w:rPr>
        <w:t xml:space="preserve"> </w:t>
      </w:r>
      <w:r>
        <w:rPr>
          <w:noProof/>
        </w:rPr>
        <w:drawing>
          <wp:inline distT="0" distB="0" distL="0" distR="0" wp14:anchorId="3EBA241F" wp14:editId="3814D241">
            <wp:extent cx="5290185" cy="2409825"/>
            <wp:effectExtent l="0" t="0" r="5715" b="9525"/>
            <wp:docPr id="15" name="Chart 15" descr="State Agency Percentage of Biodiesel Use - Land Sector from 2007-2020. 2007:1.7%. 2008: 3.8%. 2009: 5.7%. 2010: 9.4%. 2011: 12.8%. 2012: 10.7%. 2013: 12.1%. 2014: 12.1%. 2015: 13.1%. 2016: 12.9%. 2017: 10.3%. 2018: 9.2%. 2019: 9.5%. 2020: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E93BC2" w14:textId="77777777" w:rsidR="00694E5A" w:rsidRPr="00400F29" w:rsidRDefault="00694E5A" w:rsidP="00024BD3">
      <w:pPr>
        <w:pStyle w:val="BodyText"/>
        <w:tabs>
          <w:tab w:val="left" w:pos="3135"/>
        </w:tabs>
        <w:jc w:val="both"/>
        <w:rPr>
          <w:rFonts w:cs="Arial"/>
          <w:sz w:val="18"/>
          <w:szCs w:val="18"/>
        </w:rPr>
      </w:pPr>
    </w:p>
    <w:p w14:paraId="59A6631B" w14:textId="77777777" w:rsidR="004B1DF0" w:rsidRPr="00443E9A" w:rsidRDefault="005C557A" w:rsidP="00024BD3">
      <w:pPr>
        <w:pStyle w:val="Heading1"/>
        <w:spacing w:before="240" w:after="200"/>
        <w:jc w:val="both"/>
        <w:rPr>
          <w:rFonts w:cs="Arial"/>
          <w:smallCaps w:val="0"/>
          <w:sz w:val="24"/>
          <w:szCs w:val="24"/>
        </w:rPr>
      </w:pPr>
      <w:r w:rsidRPr="00443E9A">
        <w:rPr>
          <w:rFonts w:cs="Arial"/>
          <w:smallCaps w:val="0"/>
          <w:sz w:val="24"/>
          <w:szCs w:val="24"/>
        </w:rPr>
        <w:t>WSDOT</w:t>
      </w:r>
      <w:r w:rsidRPr="00443E9A">
        <w:rPr>
          <w:rFonts w:cs="Arial"/>
          <w:smallCaps w:val="0"/>
          <w:spacing w:val="-15"/>
          <w:sz w:val="24"/>
          <w:szCs w:val="24"/>
        </w:rPr>
        <w:t xml:space="preserve"> </w:t>
      </w:r>
      <w:r w:rsidR="00400F29">
        <w:rPr>
          <w:rFonts w:cs="Arial"/>
          <w:smallCaps w:val="0"/>
          <w:spacing w:val="-15"/>
          <w:sz w:val="24"/>
          <w:szCs w:val="24"/>
        </w:rPr>
        <w:t xml:space="preserve">Regional </w:t>
      </w:r>
      <w:r w:rsidR="00400F29">
        <w:rPr>
          <w:rFonts w:cs="Arial"/>
          <w:smallCaps w:val="0"/>
          <w:spacing w:val="-2"/>
          <w:sz w:val="24"/>
          <w:szCs w:val="24"/>
        </w:rPr>
        <w:t>Purchases</w:t>
      </w:r>
    </w:p>
    <w:p w14:paraId="5F34F6A5" w14:textId="77777777" w:rsidR="00400F29" w:rsidRDefault="008671BC" w:rsidP="00024BD3">
      <w:pPr>
        <w:jc w:val="both"/>
        <w:rPr>
          <w:rFonts w:cs="Arial"/>
        </w:rPr>
      </w:pPr>
      <w:r w:rsidRPr="00400F29">
        <w:rPr>
          <w:rFonts w:cs="Arial"/>
        </w:rPr>
        <w:t>WSDOT maintains a statewide network of</w:t>
      </w:r>
      <w:r w:rsidR="008F00A7" w:rsidRPr="00400F29">
        <w:rPr>
          <w:rFonts w:cs="Arial"/>
        </w:rPr>
        <w:t xml:space="preserve"> 105 diesel </w:t>
      </w:r>
      <w:r w:rsidRPr="00400F29">
        <w:rPr>
          <w:rFonts w:cs="Arial"/>
        </w:rPr>
        <w:t xml:space="preserve">fueling </w:t>
      </w:r>
      <w:r w:rsidR="00C46696">
        <w:rPr>
          <w:rFonts w:cs="Arial"/>
        </w:rPr>
        <w:t>sites</w:t>
      </w:r>
      <w:r w:rsidR="00C46696" w:rsidRPr="00400F29">
        <w:rPr>
          <w:rFonts w:cs="Arial"/>
        </w:rPr>
        <w:t xml:space="preserve"> </w:t>
      </w:r>
      <w:r w:rsidRPr="00400F29">
        <w:rPr>
          <w:rFonts w:cs="Arial"/>
        </w:rPr>
        <w:t>that serves the majority of the state’s diesel-powered vehicles and equipment</w:t>
      </w:r>
      <w:r w:rsidR="00D00F65" w:rsidRPr="00400F29">
        <w:rPr>
          <w:rFonts w:cs="Arial"/>
        </w:rPr>
        <w:t xml:space="preserve">. </w:t>
      </w:r>
      <w:r w:rsidR="00333999">
        <w:rPr>
          <w:rFonts w:cs="Arial"/>
        </w:rPr>
        <w:t>Of</w:t>
      </w:r>
      <w:r w:rsidR="00D00F65" w:rsidRPr="00400F29">
        <w:rPr>
          <w:rFonts w:cs="Arial"/>
        </w:rPr>
        <w:t xml:space="preserve"> th</w:t>
      </w:r>
      <w:r w:rsidR="00333999">
        <w:rPr>
          <w:rFonts w:cs="Arial"/>
        </w:rPr>
        <w:t>os</w:t>
      </w:r>
      <w:r w:rsidR="00D00F65" w:rsidRPr="00400F29">
        <w:rPr>
          <w:rFonts w:cs="Arial"/>
        </w:rPr>
        <w:t>e</w:t>
      </w:r>
      <w:r w:rsidR="008F00A7" w:rsidRPr="00400F29">
        <w:rPr>
          <w:rFonts w:cs="Arial"/>
        </w:rPr>
        <w:t xml:space="preserve"> </w:t>
      </w:r>
      <w:r w:rsidR="00C46696">
        <w:rPr>
          <w:rFonts w:cs="Arial"/>
        </w:rPr>
        <w:t>sites</w:t>
      </w:r>
      <w:r w:rsidR="00333999">
        <w:rPr>
          <w:rFonts w:cs="Arial"/>
        </w:rPr>
        <w:t>, 11</w:t>
      </w:r>
      <w:r w:rsidR="00C46696" w:rsidRPr="00400F29">
        <w:rPr>
          <w:rFonts w:cs="Arial"/>
        </w:rPr>
        <w:t xml:space="preserve"> </w:t>
      </w:r>
      <w:r w:rsidR="00D00F65" w:rsidRPr="00400F29">
        <w:rPr>
          <w:rFonts w:cs="Arial"/>
        </w:rPr>
        <w:t xml:space="preserve">do not receive biodiesel </w:t>
      </w:r>
      <w:r w:rsidR="00400F29" w:rsidRPr="00400F29">
        <w:rPr>
          <w:rFonts w:cs="Arial"/>
        </w:rPr>
        <w:t>due to</w:t>
      </w:r>
      <w:r w:rsidR="00D00F65" w:rsidRPr="00400F29">
        <w:rPr>
          <w:rFonts w:cs="Arial"/>
        </w:rPr>
        <w:t xml:space="preserve"> cold winter temperatures and low fuel turn-over (no fuel use for four to six months, or longer). All remaining sites received some amount of biodiesel during the year.</w:t>
      </w:r>
    </w:p>
    <w:p w14:paraId="0DE7111B" w14:textId="77777777" w:rsidR="00400F29" w:rsidRDefault="00400F29" w:rsidP="00024BD3">
      <w:pPr>
        <w:jc w:val="both"/>
        <w:rPr>
          <w:rFonts w:cs="Arial"/>
        </w:rPr>
      </w:pPr>
    </w:p>
    <w:p w14:paraId="7487E144" w14:textId="66F455B9" w:rsidR="00D06090" w:rsidRDefault="00B35032" w:rsidP="00024BD3">
      <w:pPr>
        <w:jc w:val="both"/>
        <w:rPr>
          <w:rFonts w:cs="Arial"/>
        </w:rPr>
      </w:pPr>
      <w:r>
        <w:rPr>
          <w:rFonts w:cs="Arial"/>
        </w:rPr>
        <w:t xml:space="preserve">Since 2012, </w:t>
      </w:r>
      <w:r w:rsidR="00D06090">
        <w:rPr>
          <w:rFonts w:cs="Arial"/>
        </w:rPr>
        <w:t xml:space="preserve">WSDOT’s efforts to </w:t>
      </w:r>
      <w:r w:rsidR="0054178A">
        <w:rPr>
          <w:rFonts w:cs="Arial"/>
        </w:rPr>
        <w:t>achieve</w:t>
      </w:r>
      <w:r w:rsidR="00D06090">
        <w:rPr>
          <w:rFonts w:cs="Arial"/>
        </w:rPr>
        <w:t xml:space="preserve"> a B20 blend level on an annualized basis </w:t>
      </w:r>
      <w:r>
        <w:rPr>
          <w:rFonts w:cs="Arial"/>
        </w:rPr>
        <w:t>have been</w:t>
      </w:r>
      <w:r w:rsidR="00D06090">
        <w:rPr>
          <w:rFonts w:cs="Arial"/>
        </w:rPr>
        <w:t xml:space="preserve"> hampered by older tanks that fail to meet </w:t>
      </w:r>
      <w:r w:rsidR="00D06090" w:rsidRPr="00A53E6D">
        <w:rPr>
          <w:rFonts w:cs="Arial"/>
        </w:rPr>
        <w:t xml:space="preserve">EPA </w:t>
      </w:r>
      <w:r w:rsidR="00D06090">
        <w:rPr>
          <w:rFonts w:cs="Arial"/>
        </w:rPr>
        <w:t>guidance regarding</w:t>
      </w:r>
      <w:r w:rsidR="00D06090" w:rsidRPr="00A53E6D">
        <w:rPr>
          <w:rFonts w:cs="Arial"/>
        </w:rPr>
        <w:t xml:space="preserve"> materials compatibility</w:t>
      </w:r>
      <w:r w:rsidR="00D06090">
        <w:rPr>
          <w:rFonts w:cs="Arial"/>
        </w:rPr>
        <w:t xml:space="preserve">. </w:t>
      </w:r>
      <w:r>
        <w:rPr>
          <w:rFonts w:cs="Arial"/>
        </w:rPr>
        <w:t xml:space="preserve">These tanks are limited to B20, so lower-level winter blends cannot be balanced by blends above B20 in the summer months. WSDOT has replaced tanks </w:t>
      </w:r>
      <w:r w:rsidR="00C46696">
        <w:rPr>
          <w:rFonts w:cs="Arial"/>
        </w:rPr>
        <w:t xml:space="preserve">at </w:t>
      </w:r>
      <w:r w:rsidR="000C3227">
        <w:rPr>
          <w:rFonts w:cs="Arial"/>
        </w:rPr>
        <w:t>ten</w:t>
      </w:r>
      <w:r w:rsidR="00C46696">
        <w:rPr>
          <w:rFonts w:cs="Arial"/>
        </w:rPr>
        <w:t xml:space="preserve"> sites </w:t>
      </w:r>
      <w:r w:rsidR="008F00A7">
        <w:rPr>
          <w:rFonts w:cs="Arial"/>
        </w:rPr>
        <w:t xml:space="preserve">since 2015, and </w:t>
      </w:r>
      <w:r w:rsidR="000A7181">
        <w:rPr>
          <w:rFonts w:cs="Arial"/>
        </w:rPr>
        <w:t xml:space="preserve">estimates $121 million is needed </w:t>
      </w:r>
      <w:r w:rsidR="008F00A7">
        <w:rPr>
          <w:rFonts w:cs="Arial"/>
        </w:rPr>
        <w:t>to replace the</w:t>
      </w:r>
      <w:r w:rsidR="0054178A">
        <w:rPr>
          <w:rFonts w:cs="Arial"/>
        </w:rPr>
        <w:t xml:space="preserve"> </w:t>
      </w:r>
      <w:r>
        <w:rPr>
          <w:rFonts w:cs="Arial"/>
        </w:rPr>
        <w:t xml:space="preserve">38 </w:t>
      </w:r>
      <w:r w:rsidR="008F00A7">
        <w:rPr>
          <w:rFonts w:cs="Arial"/>
        </w:rPr>
        <w:t>remaining tanks with B20 limitations.</w:t>
      </w:r>
      <w:r w:rsidR="000A7181">
        <w:rPr>
          <w:rFonts w:cs="Arial"/>
        </w:rPr>
        <w:t xml:space="preserve"> The agency has requested $10 million for the 2021-23 biennium to replace the highest priority, single-walled tanks at White Pass and Morton.</w:t>
      </w:r>
    </w:p>
    <w:p w14:paraId="4689905E" w14:textId="77777777" w:rsidR="00F054A3" w:rsidRDefault="00F054A3" w:rsidP="00024BD3">
      <w:pPr>
        <w:jc w:val="both"/>
        <w:rPr>
          <w:rFonts w:cs="Arial"/>
        </w:rPr>
      </w:pPr>
    </w:p>
    <w:tbl>
      <w:tblPr>
        <w:tblW w:w="9165" w:type="dxa"/>
        <w:tblInd w:w="80" w:type="dxa"/>
        <w:tblLayout w:type="fixed"/>
        <w:tblCellMar>
          <w:left w:w="0" w:type="dxa"/>
          <w:right w:w="0" w:type="dxa"/>
        </w:tblCellMar>
        <w:tblLook w:val="00A0" w:firstRow="1" w:lastRow="0" w:firstColumn="1" w:lastColumn="0" w:noHBand="0" w:noVBand="0"/>
        <w:tblDescription w:val="WSDOT Fueling Site Purchases by Region 2020 (diesel-only tanks omitted as of 2016)."/>
      </w:tblPr>
      <w:tblGrid>
        <w:gridCol w:w="2114"/>
        <w:gridCol w:w="1779"/>
        <w:gridCol w:w="1958"/>
        <w:gridCol w:w="1689"/>
        <w:gridCol w:w="1625"/>
      </w:tblGrid>
      <w:tr w:rsidR="008F5048" w:rsidRPr="008F5048" w14:paraId="14C9B318" w14:textId="77777777" w:rsidTr="001D7744">
        <w:trPr>
          <w:trHeight w:hRule="exact" w:val="308"/>
          <w:tblHeader/>
        </w:trPr>
        <w:tc>
          <w:tcPr>
            <w:tcW w:w="9165" w:type="dxa"/>
            <w:gridSpan w:val="5"/>
            <w:tcBorders>
              <w:top w:val="single" w:sz="8" w:space="0" w:color="000000"/>
              <w:left w:val="single" w:sz="8" w:space="0" w:color="000000"/>
              <w:bottom w:val="single" w:sz="8" w:space="0" w:color="000000"/>
              <w:right w:val="single" w:sz="8" w:space="0" w:color="000000"/>
            </w:tcBorders>
            <w:vAlign w:val="center"/>
          </w:tcPr>
          <w:p w14:paraId="13072957" w14:textId="77777777" w:rsidR="00333999" w:rsidRPr="008F5048" w:rsidRDefault="00333999" w:rsidP="00024BD3">
            <w:pPr>
              <w:pStyle w:val="TableParagraph"/>
              <w:kinsoku w:val="0"/>
              <w:overflowPunct w:val="0"/>
              <w:spacing w:before="25"/>
              <w:ind w:left="234"/>
              <w:jc w:val="both"/>
              <w:rPr>
                <w:rFonts w:cs="Arial"/>
                <w:bCs/>
                <w:sz w:val="20"/>
                <w:szCs w:val="20"/>
              </w:rPr>
            </w:pPr>
            <w:r w:rsidRPr="008F5048">
              <w:rPr>
                <w:rFonts w:cs="Arial"/>
                <w:b/>
                <w:bCs/>
                <w:sz w:val="20"/>
                <w:szCs w:val="20"/>
              </w:rPr>
              <w:lastRenderedPageBreak/>
              <w:t xml:space="preserve">WSDOT Fueling Site Purchases by Region: </w:t>
            </w:r>
            <w:r w:rsidRPr="006656DE">
              <w:rPr>
                <w:rFonts w:cs="Arial"/>
                <w:b/>
                <w:bCs/>
                <w:sz w:val="20"/>
                <w:szCs w:val="20"/>
              </w:rPr>
              <w:t>2020</w:t>
            </w:r>
            <w:r w:rsidRPr="008F5048">
              <w:rPr>
                <w:rFonts w:cs="Arial"/>
                <w:bCs/>
                <w:sz w:val="20"/>
                <w:szCs w:val="20"/>
              </w:rPr>
              <w:t xml:space="preserve"> (diesel-only tanks omitted as of 2016)</w:t>
            </w:r>
          </w:p>
        </w:tc>
      </w:tr>
      <w:tr w:rsidR="008F5048" w:rsidRPr="008F5048" w14:paraId="1B844F5C" w14:textId="77777777" w:rsidTr="001D7744">
        <w:trPr>
          <w:trHeight w:hRule="exact" w:val="308"/>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18E853F2" w14:textId="77777777" w:rsidR="00333999" w:rsidRPr="008F5048" w:rsidRDefault="00333999" w:rsidP="00024BD3">
            <w:pPr>
              <w:pStyle w:val="TableParagraph"/>
              <w:kinsoku w:val="0"/>
              <w:overflowPunct w:val="0"/>
              <w:spacing w:before="25"/>
              <w:ind w:left="95"/>
              <w:jc w:val="both"/>
              <w:rPr>
                <w:rFonts w:cs="Arial"/>
              </w:rPr>
            </w:pPr>
            <w:r w:rsidRPr="008F5048">
              <w:rPr>
                <w:rFonts w:cs="Arial"/>
                <w:b/>
                <w:bCs/>
                <w:sz w:val="20"/>
                <w:szCs w:val="20"/>
              </w:rPr>
              <w:t>WSDOT Region</w:t>
            </w:r>
          </w:p>
        </w:tc>
        <w:tc>
          <w:tcPr>
            <w:tcW w:w="1779" w:type="dxa"/>
            <w:tcBorders>
              <w:top w:val="single" w:sz="8" w:space="0" w:color="000000"/>
              <w:left w:val="single" w:sz="8" w:space="0" w:color="000000"/>
              <w:bottom w:val="single" w:sz="8" w:space="0" w:color="000000"/>
              <w:right w:val="single" w:sz="8" w:space="0" w:color="000000"/>
            </w:tcBorders>
            <w:vAlign w:val="center"/>
          </w:tcPr>
          <w:p w14:paraId="23E9358B" w14:textId="77777777" w:rsidR="00333999" w:rsidRPr="008F5048" w:rsidRDefault="00333999" w:rsidP="00024BD3">
            <w:pPr>
              <w:pStyle w:val="TableParagraph"/>
              <w:kinsoku w:val="0"/>
              <w:overflowPunct w:val="0"/>
              <w:spacing w:before="25"/>
              <w:ind w:left="198"/>
              <w:jc w:val="both"/>
              <w:rPr>
                <w:rFonts w:cs="Arial"/>
              </w:rPr>
            </w:pPr>
            <w:r w:rsidRPr="008F5048">
              <w:rPr>
                <w:rFonts w:cs="Arial"/>
                <w:b/>
                <w:bCs/>
                <w:sz w:val="20"/>
                <w:szCs w:val="20"/>
              </w:rPr>
              <w:t>Diesel</w:t>
            </w:r>
            <w:r w:rsidRPr="008F5048">
              <w:rPr>
                <w:rFonts w:cs="Arial"/>
                <w:b/>
                <w:bCs/>
                <w:spacing w:val="-29"/>
                <w:sz w:val="20"/>
                <w:szCs w:val="20"/>
              </w:rPr>
              <w:t xml:space="preserve"> </w:t>
            </w:r>
            <w:r w:rsidRPr="008F5048">
              <w:rPr>
                <w:rFonts w:cs="Arial"/>
                <w:b/>
                <w:bCs/>
                <w:spacing w:val="-1"/>
                <w:sz w:val="20"/>
                <w:szCs w:val="20"/>
              </w:rPr>
              <w:t>Gallons</w:t>
            </w:r>
          </w:p>
        </w:tc>
        <w:tc>
          <w:tcPr>
            <w:tcW w:w="1958" w:type="dxa"/>
            <w:tcBorders>
              <w:top w:val="single" w:sz="8" w:space="0" w:color="000000"/>
              <w:left w:val="single" w:sz="8" w:space="0" w:color="000000"/>
              <w:bottom w:val="single" w:sz="8" w:space="0" w:color="000000"/>
              <w:right w:val="single" w:sz="8" w:space="0" w:color="000000"/>
            </w:tcBorders>
            <w:vAlign w:val="center"/>
          </w:tcPr>
          <w:p w14:paraId="44B7EC0A" w14:textId="77777777" w:rsidR="00333999" w:rsidRPr="008F5048" w:rsidRDefault="00333999" w:rsidP="00024BD3">
            <w:pPr>
              <w:pStyle w:val="TableParagraph"/>
              <w:kinsoku w:val="0"/>
              <w:overflowPunct w:val="0"/>
              <w:spacing w:before="25"/>
              <w:ind w:left="138"/>
              <w:jc w:val="both"/>
              <w:rPr>
                <w:rFonts w:cs="Arial"/>
              </w:rPr>
            </w:pPr>
            <w:r w:rsidRPr="008F5048">
              <w:rPr>
                <w:rFonts w:cs="Arial"/>
                <w:b/>
                <w:bCs/>
                <w:sz w:val="20"/>
                <w:szCs w:val="20"/>
              </w:rPr>
              <w:t>Biodiesel</w:t>
            </w:r>
            <w:r w:rsidRPr="008F5048">
              <w:rPr>
                <w:rFonts w:cs="Arial"/>
                <w:b/>
                <w:bCs/>
                <w:spacing w:val="-34"/>
                <w:sz w:val="20"/>
                <w:szCs w:val="20"/>
              </w:rPr>
              <w:t xml:space="preserve"> </w:t>
            </w:r>
            <w:r w:rsidRPr="008F5048">
              <w:rPr>
                <w:rFonts w:cs="Arial"/>
                <w:b/>
                <w:bCs/>
                <w:spacing w:val="-1"/>
                <w:sz w:val="20"/>
                <w:szCs w:val="20"/>
              </w:rPr>
              <w:t>Gallons</w:t>
            </w:r>
          </w:p>
        </w:tc>
        <w:tc>
          <w:tcPr>
            <w:tcW w:w="1689" w:type="dxa"/>
            <w:tcBorders>
              <w:top w:val="single" w:sz="8" w:space="0" w:color="000000"/>
              <w:left w:val="single" w:sz="8" w:space="0" w:color="000000"/>
              <w:bottom w:val="single" w:sz="8" w:space="0" w:color="000000"/>
              <w:right w:val="single" w:sz="8" w:space="0" w:color="000000"/>
            </w:tcBorders>
            <w:vAlign w:val="center"/>
          </w:tcPr>
          <w:p w14:paraId="5EE70D9A" w14:textId="77777777" w:rsidR="00333999" w:rsidRPr="008F5048" w:rsidRDefault="00333999" w:rsidP="00024BD3">
            <w:pPr>
              <w:pStyle w:val="TableParagraph"/>
              <w:kinsoku w:val="0"/>
              <w:overflowPunct w:val="0"/>
              <w:spacing w:before="25"/>
              <w:ind w:left="210"/>
              <w:jc w:val="both"/>
              <w:rPr>
                <w:rFonts w:cs="Arial"/>
              </w:rPr>
            </w:pPr>
            <w:r w:rsidRPr="008F5048">
              <w:rPr>
                <w:rFonts w:cs="Arial"/>
                <w:b/>
                <w:bCs/>
                <w:sz w:val="20"/>
                <w:szCs w:val="20"/>
              </w:rPr>
              <w:t>Total</w:t>
            </w:r>
            <w:r w:rsidRPr="008F5048">
              <w:rPr>
                <w:rFonts w:cs="Arial"/>
                <w:b/>
                <w:bCs/>
                <w:spacing w:val="-28"/>
                <w:sz w:val="20"/>
                <w:szCs w:val="20"/>
              </w:rPr>
              <w:t xml:space="preserve"> </w:t>
            </w:r>
            <w:r w:rsidRPr="008F5048">
              <w:rPr>
                <w:rFonts w:cs="Arial"/>
                <w:b/>
                <w:bCs/>
                <w:spacing w:val="-1"/>
                <w:sz w:val="20"/>
                <w:szCs w:val="20"/>
              </w:rPr>
              <w:t>Gallons</w:t>
            </w:r>
          </w:p>
        </w:tc>
        <w:tc>
          <w:tcPr>
            <w:tcW w:w="1625" w:type="dxa"/>
            <w:tcBorders>
              <w:top w:val="single" w:sz="8" w:space="0" w:color="000000"/>
              <w:left w:val="single" w:sz="8" w:space="0" w:color="000000"/>
              <w:bottom w:val="single" w:sz="8" w:space="0" w:color="000000"/>
              <w:right w:val="single" w:sz="8" w:space="0" w:color="000000"/>
            </w:tcBorders>
            <w:vAlign w:val="center"/>
          </w:tcPr>
          <w:p w14:paraId="6101C235" w14:textId="77777777" w:rsidR="00333999" w:rsidRPr="008F5048" w:rsidRDefault="00333999" w:rsidP="00024BD3">
            <w:pPr>
              <w:pStyle w:val="TableParagraph"/>
              <w:kinsoku w:val="0"/>
              <w:overflowPunct w:val="0"/>
              <w:spacing w:before="25"/>
              <w:ind w:left="234"/>
              <w:jc w:val="both"/>
              <w:rPr>
                <w:rFonts w:cs="Arial"/>
              </w:rPr>
            </w:pPr>
            <w:r w:rsidRPr="008F5048">
              <w:rPr>
                <w:rFonts w:cs="Arial"/>
                <w:b/>
                <w:bCs/>
                <w:sz w:val="20"/>
                <w:szCs w:val="20"/>
              </w:rPr>
              <w:t>Biodiesel</w:t>
            </w:r>
            <w:r w:rsidRPr="008F5048">
              <w:rPr>
                <w:rFonts w:cs="Arial"/>
                <w:b/>
                <w:bCs/>
                <w:spacing w:val="-18"/>
                <w:sz w:val="20"/>
                <w:szCs w:val="20"/>
              </w:rPr>
              <w:t xml:space="preserve"> </w:t>
            </w:r>
            <w:r w:rsidRPr="008F5048">
              <w:rPr>
                <w:rFonts w:cs="Arial"/>
                <w:b/>
                <w:bCs/>
                <w:sz w:val="20"/>
                <w:szCs w:val="20"/>
              </w:rPr>
              <w:t>%</w:t>
            </w:r>
          </w:p>
        </w:tc>
      </w:tr>
      <w:tr w:rsidR="008F5048" w:rsidRPr="008F5048" w14:paraId="37741CC0" w14:textId="77777777" w:rsidTr="001D7744">
        <w:trPr>
          <w:trHeight w:hRule="exact" w:val="308"/>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3DE549AC" w14:textId="77777777" w:rsidR="00333999" w:rsidRPr="008F5048" w:rsidRDefault="00333999" w:rsidP="00024BD3">
            <w:pPr>
              <w:pStyle w:val="TableParagraph"/>
              <w:kinsoku w:val="0"/>
              <w:overflowPunct w:val="0"/>
              <w:spacing w:before="30"/>
              <w:ind w:left="95"/>
              <w:jc w:val="both"/>
              <w:rPr>
                <w:rFonts w:cs="Arial"/>
                <w:b/>
              </w:rPr>
            </w:pPr>
            <w:r w:rsidRPr="008F5048">
              <w:rPr>
                <w:rFonts w:cs="Arial"/>
                <w:b/>
                <w:sz w:val="20"/>
                <w:szCs w:val="20"/>
              </w:rPr>
              <w:t>Westside</w:t>
            </w:r>
          </w:p>
        </w:tc>
        <w:tc>
          <w:tcPr>
            <w:tcW w:w="1779" w:type="dxa"/>
            <w:tcBorders>
              <w:top w:val="single" w:sz="4" w:space="0" w:color="auto"/>
              <w:left w:val="nil"/>
              <w:bottom w:val="single" w:sz="4" w:space="0" w:color="auto"/>
              <w:right w:val="single" w:sz="4" w:space="0" w:color="auto"/>
            </w:tcBorders>
            <w:shd w:val="clear" w:color="auto" w:fill="auto"/>
            <w:vAlign w:val="center"/>
          </w:tcPr>
          <w:p w14:paraId="20482FBE" w14:textId="77777777" w:rsidR="00333999" w:rsidRPr="006656DE" w:rsidRDefault="00333999" w:rsidP="00024BD3">
            <w:pPr>
              <w:pStyle w:val="TableParagraph"/>
              <w:kinsoku w:val="0"/>
              <w:overflowPunct w:val="0"/>
              <w:ind w:right="432"/>
              <w:jc w:val="both"/>
              <w:rPr>
                <w:rFonts w:eastAsia="Times New Roman" w:cs="Arial"/>
                <w:b/>
                <w:iCs/>
                <w:sz w:val="20"/>
                <w:szCs w:val="20"/>
              </w:rPr>
            </w:pPr>
            <w:r w:rsidRPr="006656DE">
              <w:rPr>
                <w:rFonts w:eastAsia="Times New Roman" w:cs="Arial"/>
                <w:b/>
                <w:iCs/>
                <w:sz w:val="20"/>
                <w:szCs w:val="20"/>
              </w:rPr>
              <w:t>729,849</w:t>
            </w:r>
          </w:p>
        </w:tc>
        <w:tc>
          <w:tcPr>
            <w:tcW w:w="1958" w:type="dxa"/>
            <w:tcBorders>
              <w:top w:val="single" w:sz="4" w:space="0" w:color="auto"/>
              <w:left w:val="nil"/>
              <w:bottom w:val="single" w:sz="4" w:space="0" w:color="auto"/>
              <w:right w:val="single" w:sz="4" w:space="0" w:color="auto"/>
            </w:tcBorders>
            <w:shd w:val="clear" w:color="auto" w:fill="auto"/>
            <w:vAlign w:val="center"/>
          </w:tcPr>
          <w:p w14:paraId="0C5C40DA" w14:textId="77777777" w:rsidR="00333999" w:rsidRPr="008F5048" w:rsidRDefault="00333999" w:rsidP="00024BD3">
            <w:pPr>
              <w:pStyle w:val="TableParagraph"/>
              <w:kinsoku w:val="0"/>
              <w:overflowPunct w:val="0"/>
              <w:spacing w:before="30"/>
              <w:ind w:right="432"/>
              <w:jc w:val="both"/>
              <w:rPr>
                <w:rFonts w:cs="Arial"/>
                <w:b/>
                <w:sz w:val="20"/>
                <w:szCs w:val="20"/>
              </w:rPr>
            </w:pPr>
            <w:r w:rsidRPr="006656DE">
              <w:rPr>
                <w:rFonts w:eastAsia="Times New Roman" w:cs="Arial"/>
                <w:b/>
                <w:sz w:val="20"/>
                <w:szCs w:val="20"/>
              </w:rPr>
              <w:t>170,155</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4A30A0D8" w14:textId="77777777" w:rsidR="00333999" w:rsidRPr="006656DE" w:rsidRDefault="00333999" w:rsidP="00024BD3">
            <w:pPr>
              <w:pStyle w:val="TableParagraph"/>
              <w:kinsoku w:val="0"/>
              <w:overflowPunct w:val="0"/>
              <w:spacing w:before="30"/>
              <w:ind w:right="432"/>
              <w:jc w:val="both"/>
              <w:rPr>
                <w:rFonts w:eastAsia="Times New Roman" w:cs="Arial"/>
                <w:b/>
                <w:sz w:val="20"/>
                <w:szCs w:val="20"/>
              </w:rPr>
            </w:pPr>
            <w:r w:rsidRPr="006656DE">
              <w:rPr>
                <w:rFonts w:eastAsia="Times New Roman" w:cs="Arial"/>
                <w:b/>
                <w:sz w:val="20"/>
                <w:szCs w:val="20"/>
              </w:rPr>
              <w:t>900,004</w:t>
            </w:r>
          </w:p>
        </w:tc>
        <w:tc>
          <w:tcPr>
            <w:tcW w:w="1625" w:type="dxa"/>
            <w:tcBorders>
              <w:top w:val="nil"/>
              <w:left w:val="nil"/>
              <w:bottom w:val="single" w:sz="4" w:space="0" w:color="auto"/>
              <w:right w:val="single" w:sz="8" w:space="0" w:color="auto"/>
            </w:tcBorders>
            <w:shd w:val="clear" w:color="auto" w:fill="auto"/>
            <w:vAlign w:val="center"/>
          </w:tcPr>
          <w:p w14:paraId="46975A68" w14:textId="77777777" w:rsidR="00333999" w:rsidRPr="006656DE" w:rsidRDefault="00333999" w:rsidP="00024BD3">
            <w:pPr>
              <w:pStyle w:val="TableParagraph"/>
              <w:kinsoku w:val="0"/>
              <w:overflowPunct w:val="0"/>
              <w:spacing w:before="30"/>
              <w:jc w:val="both"/>
              <w:rPr>
                <w:rFonts w:cs="Arial"/>
                <w:b/>
                <w:sz w:val="20"/>
                <w:szCs w:val="20"/>
              </w:rPr>
            </w:pPr>
            <w:r w:rsidRPr="006656DE">
              <w:rPr>
                <w:rFonts w:eastAsia="Times New Roman" w:cs="Arial"/>
                <w:b/>
                <w:sz w:val="20"/>
                <w:szCs w:val="20"/>
              </w:rPr>
              <w:t>18.9%</w:t>
            </w:r>
          </w:p>
        </w:tc>
      </w:tr>
      <w:tr w:rsidR="008F5048" w:rsidRPr="008F5048" w14:paraId="5CD77679" w14:textId="77777777" w:rsidTr="001D7744">
        <w:trPr>
          <w:trHeight w:hRule="exact" w:val="315"/>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7C7FCAD6" w14:textId="77777777" w:rsidR="00333999" w:rsidRPr="008F5048" w:rsidDel="00613F84" w:rsidRDefault="00333999" w:rsidP="00024BD3">
            <w:pPr>
              <w:pStyle w:val="TableParagraph"/>
              <w:numPr>
                <w:ilvl w:val="0"/>
                <w:numId w:val="44"/>
              </w:numPr>
              <w:kinsoku w:val="0"/>
              <w:overflowPunct w:val="0"/>
              <w:ind w:left="400" w:hanging="180"/>
              <w:jc w:val="both"/>
              <w:rPr>
                <w:rFonts w:cs="Arial"/>
                <w:b/>
                <w:bCs/>
                <w:iCs/>
                <w:sz w:val="20"/>
                <w:szCs w:val="20"/>
              </w:rPr>
            </w:pPr>
            <w:r w:rsidRPr="008F5048">
              <w:rPr>
                <w:rFonts w:cs="Arial"/>
                <w:sz w:val="20"/>
                <w:szCs w:val="20"/>
              </w:rPr>
              <w:t>Olympic</w:t>
            </w:r>
          </w:p>
        </w:tc>
        <w:tc>
          <w:tcPr>
            <w:tcW w:w="1779" w:type="dxa"/>
            <w:tcBorders>
              <w:top w:val="single" w:sz="8" w:space="0" w:color="000000"/>
              <w:left w:val="nil"/>
              <w:bottom w:val="single" w:sz="8" w:space="0" w:color="auto"/>
              <w:right w:val="single" w:sz="4" w:space="0" w:color="auto"/>
            </w:tcBorders>
            <w:shd w:val="clear" w:color="auto" w:fill="auto"/>
            <w:vAlign w:val="center"/>
          </w:tcPr>
          <w:p w14:paraId="4D9572D2" w14:textId="77777777" w:rsidR="00333999" w:rsidRPr="006656DE" w:rsidRDefault="00333999" w:rsidP="00024BD3">
            <w:pPr>
              <w:pStyle w:val="TableParagraph"/>
              <w:kinsoku w:val="0"/>
              <w:overflowPunct w:val="0"/>
              <w:ind w:right="432"/>
              <w:jc w:val="both"/>
              <w:rPr>
                <w:rFonts w:eastAsia="Times New Roman" w:cs="Arial"/>
                <w:bCs/>
                <w:iCs/>
                <w:sz w:val="20"/>
                <w:szCs w:val="20"/>
              </w:rPr>
            </w:pPr>
            <w:r w:rsidRPr="006656DE">
              <w:rPr>
                <w:rFonts w:eastAsia="Times New Roman" w:cs="Arial"/>
                <w:bCs/>
                <w:iCs/>
                <w:sz w:val="20"/>
                <w:szCs w:val="20"/>
              </w:rPr>
              <w:t>245,554</w:t>
            </w:r>
          </w:p>
        </w:tc>
        <w:tc>
          <w:tcPr>
            <w:tcW w:w="1958" w:type="dxa"/>
            <w:tcBorders>
              <w:top w:val="single" w:sz="8" w:space="0" w:color="000000"/>
              <w:left w:val="nil"/>
              <w:bottom w:val="single" w:sz="8" w:space="0" w:color="auto"/>
              <w:right w:val="single" w:sz="4" w:space="0" w:color="auto"/>
            </w:tcBorders>
            <w:shd w:val="clear" w:color="auto" w:fill="auto"/>
            <w:vAlign w:val="center"/>
          </w:tcPr>
          <w:p w14:paraId="7962BE86"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65,196</w:t>
            </w:r>
          </w:p>
        </w:tc>
        <w:tc>
          <w:tcPr>
            <w:tcW w:w="1689" w:type="dxa"/>
            <w:tcBorders>
              <w:top w:val="single" w:sz="8" w:space="0" w:color="000000"/>
              <w:left w:val="single" w:sz="4" w:space="0" w:color="auto"/>
              <w:bottom w:val="single" w:sz="8" w:space="0" w:color="auto"/>
              <w:right w:val="single" w:sz="4" w:space="0" w:color="auto"/>
            </w:tcBorders>
            <w:shd w:val="clear" w:color="auto" w:fill="auto"/>
            <w:vAlign w:val="center"/>
          </w:tcPr>
          <w:p w14:paraId="5C340B85"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310,750</w:t>
            </w:r>
          </w:p>
        </w:tc>
        <w:tc>
          <w:tcPr>
            <w:tcW w:w="1625" w:type="dxa"/>
            <w:tcBorders>
              <w:top w:val="single" w:sz="8" w:space="0" w:color="000000"/>
              <w:left w:val="nil"/>
              <w:bottom w:val="single" w:sz="8" w:space="0" w:color="auto"/>
              <w:right w:val="single" w:sz="8" w:space="0" w:color="auto"/>
            </w:tcBorders>
            <w:shd w:val="clear" w:color="auto" w:fill="auto"/>
            <w:vAlign w:val="center"/>
          </w:tcPr>
          <w:p w14:paraId="53AADC6F" w14:textId="77777777" w:rsidR="00333999" w:rsidRPr="006656DE" w:rsidRDefault="00333999" w:rsidP="00024BD3">
            <w:pPr>
              <w:pStyle w:val="TableParagraph"/>
              <w:kinsoku w:val="0"/>
              <w:overflowPunct w:val="0"/>
              <w:jc w:val="both"/>
              <w:rPr>
                <w:rFonts w:eastAsia="Times New Roman" w:cs="Arial"/>
                <w:iCs/>
                <w:sz w:val="20"/>
                <w:szCs w:val="20"/>
              </w:rPr>
            </w:pPr>
            <w:r w:rsidRPr="006656DE">
              <w:rPr>
                <w:rFonts w:eastAsia="Times New Roman" w:cs="Arial"/>
                <w:iCs/>
                <w:sz w:val="20"/>
                <w:szCs w:val="20"/>
              </w:rPr>
              <w:t>21%</w:t>
            </w:r>
          </w:p>
        </w:tc>
      </w:tr>
      <w:tr w:rsidR="008F5048" w:rsidRPr="008F5048" w14:paraId="2BCBB1DA" w14:textId="77777777" w:rsidTr="001D7744">
        <w:trPr>
          <w:trHeight w:hRule="exact" w:val="280"/>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50E8EC3A" w14:textId="77777777" w:rsidR="00333999" w:rsidRPr="008F5048" w:rsidDel="00613F84" w:rsidRDefault="00333999" w:rsidP="00024BD3">
            <w:pPr>
              <w:pStyle w:val="TableParagraph"/>
              <w:numPr>
                <w:ilvl w:val="0"/>
                <w:numId w:val="44"/>
              </w:numPr>
              <w:kinsoku w:val="0"/>
              <w:overflowPunct w:val="0"/>
              <w:ind w:left="400" w:hanging="180"/>
              <w:jc w:val="both"/>
              <w:rPr>
                <w:rFonts w:cs="Arial"/>
                <w:b/>
                <w:bCs/>
                <w:iCs/>
                <w:sz w:val="20"/>
                <w:szCs w:val="20"/>
              </w:rPr>
            </w:pPr>
            <w:r w:rsidRPr="008F5048">
              <w:rPr>
                <w:rFonts w:cs="Arial"/>
                <w:sz w:val="20"/>
                <w:szCs w:val="20"/>
              </w:rPr>
              <w:t>Southwest</w:t>
            </w:r>
          </w:p>
        </w:tc>
        <w:tc>
          <w:tcPr>
            <w:tcW w:w="1779" w:type="dxa"/>
            <w:tcBorders>
              <w:top w:val="single" w:sz="8" w:space="0" w:color="000000"/>
              <w:left w:val="nil"/>
              <w:bottom w:val="single" w:sz="8" w:space="0" w:color="auto"/>
              <w:right w:val="single" w:sz="4" w:space="0" w:color="auto"/>
            </w:tcBorders>
            <w:shd w:val="clear" w:color="auto" w:fill="auto"/>
            <w:vAlign w:val="center"/>
          </w:tcPr>
          <w:p w14:paraId="12BB58F8" w14:textId="77777777" w:rsidR="00333999" w:rsidRPr="006656DE" w:rsidRDefault="00333999" w:rsidP="00024BD3">
            <w:pPr>
              <w:pStyle w:val="TableParagraph"/>
              <w:kinsoku w:val="0"/>
              <w:overflowPunct w:val="0"/>
              <w:ind w:right="432"/>
              <w:jc w:val="both"/>
              <w:rPr>
                <w:rFonts w:eastAsia="Times New Roman" w:cs="Arial"/>
                <w:bCs/>
                <w:iCs/>
                <w:sz w:val="20"/>
                <w:szCs w:val="20"/>
              </w:rPr>
            </w:pPr>
            <w:r w:rsidRPr="006656DE">
              <w:rPr>
                <w:rFonts w:eastAsia="Times New Roman" w:cs="Arial"/>
                <w:bCs/>
                <w:iCs/>
                <w:sz w:val="20"/>
                <w:szCs w:val="20"/>
              </w:rPr>
              <w:t>173,272</w:t>
            </w:r>
          </w:p>
        </w:tc>
        <w:tc>
          <w:tcPr>
            <w:tcW w:w="1958" w:type="dxa"/>
            <w:tcBorders>
              <w:top w:val="single" w:sz="8" w:space="0" w:color="000000"/>
              <w:left w:val="nil"/>
              <w:bottom w:val="single" w:sz="8" w:space="0" w:color="auto"/>
              <w:right w:val="single" w:sz="4" w:space="0" w:color="auto"/>
            </w:tcBorders>
            <w:shd w:val="clear" w:color="auto" w:fill="auto"/>
            <w:vAlign w:val="center"/>
          </w:tcPr>
          <w:p w14:paraId="3850EB26"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38,975</w:t>
            </w:r>
          </w:p>
        </w:tc>
        <w:tc>
          <w:tcPr>
            <w:tcW w:w="1689" w:type="dxa"/>
            <w:tcBorders>
              <w:top w:val="single" w:sz="8" w:space="0" w:color="000000"/>
              <w:left w:val="single" w:sz="4" w:space="0" w:color="auto"/>
              <w:bottom w:val="single" w:sz="8" w:space="0" w:color="auto"/>
              <w:right w:val="single" w:sz="4" w:space="0" w:color="auto"/>
            </w:tcBorders>
            <w:shd w:val="clear" w:color="auto" w:fill="auto"/>
            <w:vAlign w:val="center"/>
          </w:tcPr>
          <w:p w14:paraId="1359EE78"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212,247</w:t>
            </w:r>
          </w:p>
        </w:tc>
        <w:tc>
          <w:tcPr>
            <w:tcW w:w="1625" w:type="dxa"/>
            <w:tcBorders>
              <w:top w:val="single" w:sz="8" w:space="0" w:color="000000"/>
              <w:left w:val="nil"/>
              <w:bottom w:val="single" w:sz="8" w:space="0" w:color="auto"/>
              <w:right w:val="single" w:sz="8" w:space="0" w:color="auto"/>
            </w:tcBorders>
            <w:shd w:val="clear" w:color="auto" w:fill="auto"/>
            <w:vAlign w:val="center"/>
          </w:tcPr>
          <w:p w14:paraId="7C1E2704" w14:textId="77777777" w:rsidR="00333999" w:rsidRPr="006656DE" w:rsidRDefault="00333999" w:rsidP="00024BD3">
            <w:pPr>
              <w:pStyle w:val="TableParagraph"/>
              <w:kinsoku w:val="0"/>
              <w:overflowPunct w:val="0"/>
              <w:jc w:val="both"/>
              <w:rPr>
                <w:rFonts w:eastAsia="Times New Roman" w:cs="Arial"/>
                <w:iCs/>
                <w:sz w:val="20"/>
                <w:szCs w:val="20"/>
              </w:rPr>
            </w:pPr>
            <w:r w:rsidRPr="006656DE">
              <w:rPr>
                <w:rFonts w:eastAsia="Times New Roman" w:cs="Arial"/>
                <w:iCs/>
                <w:sz w:val="20"/>
                <w:szCs w:val="20"/>
              </w:rPr>
              <w:t>18.4%</w:t>
            </w:r>
          </w:p>
        </w:tc>
      </w:tr>
      <w:tr w:rsidR="008F5048" w:rsidRPr="008F5048" w14:paraId="607155E2" w14:textId="77777777" w:rsidTr="001D7744">
        <w:trPr>
          <w:trHeight w:hRule="exact" w:val="361"/>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4072B32A" w14:textId="77777777" w:rsidR="00333999" w:rsidRPr="008F5048" w:rsidDel="00613F84" w:rsidRDefault="00333999" w:rsidP="00024BD3">
            <w:pPr>
              <w:pStyle w:val="TableParagraph"/>
              <w:numPr>
                <w:ilvl w:val="0"/>
                <w:numId w:val="44"/>
              </w:numPr>
              <w:kinsoku w:val="0"/>
              <w:overflowPunct w:val="0"/>
              <w:ind w:left="400" w:hanging="180"/>
              <w:jc w:val="both"/>
              <w:rPr>
                <w:rFonts w:cs="Arial"/>
                <w:b/>
                <w:bCs/>
                <w:iCs/>
                <w:sz w:val="20"/>
                <w:szCs w:val="20"/>
              </w:rPr>
            </w:pPr>
            <w:r w:rsidRPr="008F5048">
              <w:rPr>
                <w:rFonts w:cs="Arial"/>
                <w:sz w:val="20"/>
                <w:szCs w:val="20"/>
              </w:rPr>
              <w:t>Northwest</w:t>
            </w:r>
          </w:p>
        </w:tc>
        <w:tc>
          <w:tcPr>
            <w:tcW w:w="1779" w:type="dxa"/>
            <w:tcBorders>
              <w:top w:val="single" w:sz="8" w:space="0" w:color="000000"/>
              <w:left w:val="nil"/>
              <w:bottom w:val="single" w:sz="8" w:space="0" w:color="auto"/>
              <w:right w:val="single" w:sz="4" w:space="0" w:color="auto"/>
            </w:tcBorders>
            <w:shd w:val="clear" w:color="auto" w:fill="auto"/>
            <w:vAlign w:val="center"/>
          </w:tcPr>
          <w:p w14:paraId="0B502A3A" w14:textId="77777777" w:rsidR="00333999" w:rsidRPr="006656DE" w:rsidRDefault="00333999" w:rsidP="00024BD3">
            <w:pPr>
              <w:pStyle w:val="TableParagraph"/>
              <w:kinsoku w:val="0"/>
              <w:overflowPunct w:val="0"/>
              <w:ind w:right="432"/>
              <w:jc w:val="both"/>
              <w:rPr>
                <w:rFonts w:eastAsia="Times New Roman" w:cs="Arial"/>
                <w:bCs/>
                <w:iCs/>
                <w:sz w:val="20"/>
                <w:szCs w:val="20"/>
              </w:rPr>
            </w:pPr>
            <w:r w:rsidRPr="006656DE">
              <w:rPr>
                <w:rFonts w:eastAsia="Times New Roman" w:cs="Arial"/>
                <w:bCs/>
                <w:iCs/>
                <w:sz w:val="20"/>
                <w:szCs w:val="20"/>
              </w:rPr>
              <w:t>310,996</w:t>
            </w:r>
          </w:p>
        </w:tc>
        <w:tc>
          <w:tcPr>
            <w:tcW w:w="1958" w:type="dxa"/>
            <w:tcBorders>
              <w:top w:val="single" w:sz="8" w:space="0" w:color="000000"/>
              <w:left w:val="nil"/>
              <w:bottom w:val="single" w:sz="8" w:space="0" w:color="auto"/>
              <w:right w:val="single" w:sz="4" w:space="0" w:color="auto"/>
            </w:tcBorders>
            <w:shd w:val="clear" w:color="auto" w:fill="auto"/>
            <w:vAlign w:val="center"/>
          </w:tcPr>
          <w:p w14:paraId="1D70AFFD"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66,011</w:t>
            </w:r>
          </w:p>
        </w:tc>
        <w:tc>
          <w:tcPr>
            <w:tcW w:w="1689" w:type="dxa"/>
            <w:tcBorders>
              <w:top w:val="single" w:sz="8" w:space="0" w:color="000000"/>
              <w:left w:val="single" w:sz="4" w:space="0" w:color="auto"/>
              <w:bottom w:val="single" w:sz="8" w:space="0" w:color="auto"/>
              <w:right w:val="single" w:sz="4" w:space="0" w:color="auto"/>
            </w:tcBorders>
            <w:shd w:val="clear" w:color="auto" w:fill="auto"/>
            <w:vAlign w:val="center"/>
          </w:tcPr>
          <w:p w14:paraId="071C4A3D"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377,007</w:t>
            </w:r>
          </w:p>
        </w:tc>
        <w:tc>
          <w:tcPr>
            <w:tcW w:w="1625" w:type="dxa"/>
            <w:tcBorders>
              <w:top w:val="single" w:sz="8" w:space="0" w:color="000000"/>
              <w:left w:val="nil"/>
              <w:bottom w:val="single" w:sz="8" w:space="0" w:color="auto"/>
              <w:right w:val="single" w:sz="8" w:space="0" w:color="auto"/>
            </w:tcBorders>
            <w:shd w:val="clear" w:color="auto" w:fill="auto"/>
            <w:vAlign w:val="center"/>
          </w:tcPr>
          <w:p w14:paraId="6358CB04" w14:textId="77777777" w:rsidR="00333999" w:rsidRPr="006656DE" w:rsidRDefault="00333999" w:rsidP="00024BD3">
            <w:pPr>
              <w:pStyle w:val="TableParagraph"/>
              <w:kinsoku w:val="0"/>
              <w:overflowPunct w:val="0"/>
              <w:jc w:val="both"/>
              <w:rPr>
                <w:rFonts w:eastAsia="Times New Roman" w:cs="Arial"/>
                <w:iCs/>
                <w:sz w:val="20"/>
                <w:szCs w:val="20"/>
              </w:rPr>
            </w:pPr>
            <w:r w:rsidRPr="006656DE">
              <w:rPr>
                <w:rFonts w:eastAsia="Times New Roman" w:cs="Arial"/>
                <w:iCs/>
                <w:sz w:val="20"/>
                <w:szCs w:val="20"/>
              </w:rPr>
              <w:t>17.5%</w:t>
            </w:r>
          </w:p>
        </w:tc>
      </w:tr>
      <w:tr w:rsidR="008F5048" w:rsidRPr="008F5048" w14:paraId="20544D09" w14:textId="77777777" w:rsidTr="001D7744">
        <w:trPr>
          <w:trHeight w:hRule="exact" w:val="306"/>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76F89B7C" w14:textId="77777777" w:rsidR="00333999" w:rsidRPr="008F5048" w:rsidRDefault="00333999" w:rsidP="00024BD3">
            <w:pPr>
              <w:pStyle w:val="TableParagraph"/>
              <w:kinsoku w:val="0"/>
              <w:overflowPunct w:val="0"/>
              <w:spacing w:before="30"/>
              <w:ind w:left="95"/>
              <w:jc w:val="both"/>
              <w:rPr>
                <w:rFonts w:cs="Arial"/>
                <w:b/>
              </w:rPr>
            </w:pPr>
            <w:r w:rsidRPr="008F5048">
              <w:rPr>
                <w:rFonts w:cs="Arial"/>
                <w:b/>
                <w:spacing w:val="-1"/>
                <w:sz w:val="20"/>
                <w:szCs w:val="20"/>
              </w:rPr>
              <w:t>Eastside</w:t>
            </w:r>
          </w:p>
        </w:tc>
        <w:tc>
          <w:tcPr>
            <w:tcW w:w="1779" w:type="dxa"/>
            <w:tcBorders>
              <w:top w:val="nil"/>
              <w:left w:val="single" w:sz="4" w:space="0" w:color="auto"/>
              <w:bottom w:val="single" w:sz="8" w:space="0" w:color="000000"/>
              <w:right w:val="single" w:sz="4" w:space="0" w:color="auto"/>
            </w:tcBorders>
            <w:shd w:val="clear" w:color="auto" w:fill="auto"/>
            <w:vAlign w:val="center"/>
          </w:tcPr>
          <w:p w14:paraId="3A71E2D4" w14:textId="77777777" w:rsidR="00333999" w:rsidRPr="006656DE" w:rsidRDefault="00333999" w:rsidP="00024BD3">
            <w:pPr>
              <w:pStyle w:val="TableParagraph"/>
              <w:kinsoku w:val="0"/>
              <w:overflowPunct w:val="0"/>
              <w:ind w:right="432"/>
              <w:jc w:val="both"/>
              <w:rPr>
                <w:rFonts w:eastAsia="Times New Roman" w:cs="Arial"/>
                <w:b/>
                <w:iCs/>
                <w:sz w:val="20"/>
                <w:szCs w:val="20"/>
              </w:rPr>
            </w:pPr>
            <w:r w:rsidRPr="006656DE">
              <w:rPr>
                <w:rFonts w:eastAsia="Times New Roman" w:cs="Arial"/>
                <w:b/>
                <w:iCs/>
                <w:sz w:val="20"/>
                <w:szCs w:val="20"/>
              </w:rPr>
              <w:t>1,048,370</w:t>
            </w:r>
          </w:p>
        </w:tc>
        <w:tc>
          <w:tcPr>
            <w:tcW w:w="1958" w:type="dxa"/>
            <w:tcBorders>
              <w:top w:val="single" w:sz="4" w:space="0" w:color="auto"/>
              <w:left w:val="single" w:sz="4" w:space="0" w:color="auto"/>
              <w:bottom w:val="single" w:sz="8" w:space="0" w:color="000000"/>
              <w:right w:val="single" w:sz="4" w:space="0" w:color="auto"/>
            </w:tcBorders>
            <w:shd w:val="clear" w:color="auto" w:fill="auto"/>
            <w:vAlign w:val="center"/>
          </w:tcPr>
          <w:p w14:paraId="3E179F61" w14:textId="77777777" w:rsidR="00333999" w:rsidRPr="008F5048" w:rsidRDefault="00333999" w:rsidP="00024BD3">
            <w:pPr>
              <w:pStyle w:val="TableParagraph"/>
              <w:kinsoku w:val="0"/>
              <w:overflowPunct w:val="0"/>
              <w:spacing w:before="30"/>
              <w:ind w:right="432"/>
              <w:jc w:val="both"/>
              <w:rPr>
                <w:rFonts w:cs="Arial"/>
                <w:b/>
                <w:sz w:val="20"/>
                <w:szCs w:val="20"/>
              </w:rPr>
            </w:pPr>
            <w:r w:rsidRPr="006656DE">
              <w:rPr>
                <w:rFonts w:eastAsia="Times New Roman" w:cs="Arial"/>
                <w:b/>
                <w:sz w:val="20"/>
                <w:szCs w:val="20"/>
              </w:rPr>
              <w:t>112,805</w:t>
            </w:r>
          </w:p>
        </w:tc>
        <w:tc>
          <w:tcPr>
            <w:tcW w:w="1689" w:type="dxa"/>
            <w:tcBorders>
              <w:top w:val="single" w:sz="4" w:space="0" w:color="auto"/>
              <w:left w:val="nil"/>
              <w:bottom w:val="single" w:sz="8" w:space="0" w:color="000000"/>
              <w:right w:val="single" w:sz="4" w:space="0" w:color="auto"/>
            </w:tcBorders>
            <w:shd w:val="clear" w:color="auto" w:fill="auto"/>
            <w:vAlign w:val="center"/>
          </w:tcPr>
          <w:p w14:paraId="2B4A2734" w14:textId="77777777" w:rsidR="00333999" w:rsidRPr="006656DE" w:rsidRDefault="00333999" w:rsidP="00024BD3">
            <w:pPr>
              <w:pStyle w:val="TableParagraph"/>
              <w:kinsoku w:val="0"/>
              <w:overflowPunct w:val="0"/>
              <w:spacing w:before="30"/>
              <w:ind w:right="432"/>
              <w:jc w:val="both"/>
              <w:rPr>
                <w:rFonts w:eastAsia="Times New Roman" w:cs="Arial"/>
                <w:b/>
                <w:sz w:val="20"/>
                <w:szCs w:val="20"/>
              </w:rPr>
            </w:pPr>
            <w:r w:rsidRPr="006656DE">
              <w:rPr>
                <w:rFonts w:eastAsia="Times New Roman" w:cs="Arial"/>
                <w:b/>
                <w:sz w:val="20"/>
                <w:szCs w:val="20"/>
              </w:rPr>
              <w:t>1,161,175</w:t>
            </w:r>
          </w:p>
          <w:p w14:paraId="56CEBCFF" w14:textId="77777777" w:rsidR="00333999" w:rsidRPr="008F5048" w:rsidRDefault="00333999" w:rsidP="00024BD3">
            <w:pPr>
              <w:pStyle w:val="TableParagraph"/>
              <w:kinsoku w:val="0"/>
              <w:overflowPunct w:val="0"/>
              <w:spacing w:before="30"/>
              <w:ind w:right="432"/>
              <w:jc w:val="both"/>
              <w:rPr>
                <w:rFonts w:cs="Arial"/>
                <w:b/>
                <w:sz w:val="20"/>
                <w:szCs w:val="20"/>
              </w:rPr>
            </w:pPr>
          </w:p>
        </w:tc>
        <w:tc>
          <w:tcPr>
            <w:tcW w:w="1625" w:type="dxa"/>
            <w:tcBorders>
              <w:top w:val="nil"/>
              <w:left w:val="nil"/>
              <w:bottom w:val="single" w:sz="8" w:space="0" w:color="000000"/>
              <w:right w:val="single" w:sz="8" w:space="0" w:color="auto"/>
            </w:tcBorders>
            <w:shd w:val="clear" w:color="auto" w:fill="auto"/>
            <w:vAlign w:val="center"/>
          </w:tcPr>
          <w:p w14:paraId="54356AF0" w14:textId="77777777" w:rsidR="00333999" w:rsidRPr="006656DE" w:rsidRDefault="00333999" w:rsidP="00024BD3">
            <w:pPr>
              <w:pStyle w:val="TableParagraph"/>
              <w:kinsoku w:val="0"/>
              <w:overflowPunct w:val="0"/>
              <w:spacing w:before="30"/>
              <w:jc w:val="both"/>
              <w:rPr>
                <w:rFonts w:cs="Arial"/>
                <w:b/>
                <w:sz w:val="20"/>
                <w:szCs w:val="20"/>
              </w:rPr>
            </w:pPr>
            <w:r w:rsidRPr="006656DE">
              <w:rPr>
                <w:rFonts w:eastAsia="Times New Roman" w:cs="Arial"/>
                <w:b/>
                <w:sz w:val="20"/>
                <w:szCs w:val="20"/>
              </w:rPr>
              <w:t>9.7%</w:t>
            </w:r>
          </w:p>
        </w:tc>
      </w:tr>
      <w:tr w:rsidR="008F5048" w:rsidRPr="008F5048" w14:paraId="17ABC7BA" w14:textId="77777777" w:rsidTr="001D7744">
        <w:trPr>
          <w:trHeight w:hRule="exact" w:val="315"/>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5D1C0F8F" w14:textId="77777777" w:rsidR="00333999" w:rsidRPr="008F5048" w:rsidDel="00613F84" w:rsidRDefault="00333999" w:rsidP="00024BD3">
            <w:pPr>
              <w:pStyle w:val="TableParagraph"/>
              <w:numPr>
                <w:ilvl w:val="0"/>
                <w:numId w:val="44"/>
              </w:numPr>
              <w:kinsoku w:val="0"/>
              <w:overflowPunct w:val="0"/>
              <w:ind w:left="400" w:hanging="180"/>
              <w:jc w:val="both"/>
              <w:rPr>
                <w:rFonts w:cs="Arial"/>
                <w:b/>
                <w:bCs/>
                <w:iCs/>
                <w:sz w:val="20"/>
                <w:szCs w:val="20"/>
              </w:rPr>
            </w:pPr>
            <w:r w:rsidRPr="008F5048">
              <w:rPr>
                <w:rFonts w:cs="Arial"/>
                <w:sz w:val="20"/>
                <w:szCs w:val="20"/>
              </w:rPr>
              <w:t>North Central</w:t>
            </w:r>
          </w:p>
        </w:tc>
        <w:tc>
          <w:tcPr>
            <w:tcW w:w="1779" w:type="dxa"/>
            <w:tcBorders>
              <w:top w:val="single" w:sz="8" w:space="0" w:color="000000"/>
              <w:left w:val="nil"/>
              <w:bottom w:val="single" w:sz="8" w:space="0" w:color="auto"/>
              <w:right w:val="single" w:sz="4" w:space="0" w:color="auto"/>
            </w:tcBorders>
            <w:shd w:val="clear" w:color="auto" w:fill="auto"/>
            <w:vAlign w:val="center"/>
          </w:tcPr>
          <w:p w14:paraId="188DD11F" w14:textId="77777777" w:rsidR="00333999" w:rsidRPr="006656DE" w:rsidRDefault="00333999" w:rsidP="00024BD3">
            <w:pPr>
              <w:pStyle w:val="TableParagraph"/>
              <w:kinsoku w:val="0"/>
              <w:overflowPunct w:val="0"/>
              <w:ind w:right="432"/>
              <w:jc w:val="both"/>
              <w:rPr>
                <w:rFonts w:eastAsia="Times New Roman" w:cs="Arial"/>
                <w:bCs/>
                <w:iCs/>
                <w:sz w:val="20"/>
                <w:szCs w:val="20"/>
              </w:rPr>
            </w:pPr>
            <w:r w:rsidRPr="006656DE">
              <w:rPr>
                <w:rFonts w:eastAsia="Times New Roman" w:cs="Arial"/>
                <w:bCs/>
                <w:iCs/>
                <w:sz w:val="20"/>
                <w:szCs w:val="20"/>
              </w:rPr>
              <w:t>277,375</w:t>
            </w:r>
          </w:p>
        </w:tc>
        <w:tc>
          <w:tcPr>
            <w:tcW w:w="1958" w:type="dxa"/>
            <w:tcBorders>
              <w:top w:val="single" w:sz="8" w:space="0" w:color="000000"/>
              <w:left w:val="nil"/>
              <w:bottom w:val="single" w:sz="8" w:space="0" w:color="auto"/>
              <w:right w:val="single" w:sz="4" w:space="0" w:color="auto"/>
            </w:tcBorders>
            <w:shd w:val="clear" w:color="auto" w:fill="auto"/>
            <w:vAlign w:val="center"/>
          </w:tcPr>
          <w:p w14:paraId="139C4285"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27,115</w:t>
            </w:r>
          </w:p>
        </w:tc>
        <w:tc>
          <w:tcPr>
            <w:tcW w:w="1689" w:type="dxa"/>
            <w:tcBorders>
              <w:top w:val="single" w:sz="8" w:space="0" w:color="000000"/>
              <w:left w:val="single" w:sz="4" w:space="0" w:color="auto"/>
              <w:bottom w:val="single" w:sz="8" w:space="0" w:color="auto"/>
              <w:right w:val="single" w:sz="4" w:space="0" w:color="auto"/>
            </w:tcBorders>
            <w:shd w:val="clear" w:color="auto" w:fill="auto"/>
            <w:vAlign w:val="center"/>
          </w:tcPr>
          <w:p w14:paraId="6CB09AE4"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304,490</w:t>
            </w:r>
          </w:p>
        </w:tc>
        <w:tc>
          <w:tcPr>
            <w:tcW w:w="1625" w:type="dxa"/>
            <w:tcBorders>
              <w:top w:val="single" w:sz="8" w:space="0" w:color="000000"/>
              <w:left w:val="nil"/>
              <w:bottom w:val="single" w:sz="8" w:space="0" w:color="auto"/>
              <w:right w:val="single" w:sz="8" w:space="0" w:color="auto"/>
            </w:tcBorders>
            <w:shd w:val="clear" w:color="auto" w:fill="auto"/>
            <w:vAlign w:val="center"/>
          </w:tcPr>
          <w:p w14:paraId="4E330DF8" w14:textId="77777777" w:rsidR="00333999" w:rsidRPr="006656DE" w:rsidRDefault="00333999" w:rsidP="00024BD3">
            <w:pPr>
              <w:pStyle w:val="TableParagraph"/>
              <w:kinsoku w:val="0"/>
              <w:overflowPunct w:val="0"/>
              <w:jc w:val="both"/>
              <w:rPr>
                <w:rFonts w:eastAsia="Times New Roman" w:cs="Arial"/>
                <w:iCs/>
                <w:sz w:val="20"/>
                <w:szCs w:val="20"/>
              </w:rPr>
            </w:pPr>
            <w:r w:rsidRPr="006656DE">
              <w:rPr>
                <w:rFonts w:eastAsia="Times New Roman" w:cs="Arial"/>
                <w:iCs/>
                <w:sz w:val="20"/>
                <w:szCs w:val="20"/>
              </w:rPr>
              <w:t>8.9%</w:t>
            </w:r>
          </w:p>
        </w:tc>
      </w:tr>
      <w:tr w:rsidR="008F5048" w:rsidRPr="008F5048" w14:paraId="5CF1C1D3" w14:textId="77777777" w:rsidTr="001D7744">
        <w:trPr>
          <w:trHeight w:hRule="exact" w:val="361"/>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3419DBE0" w14:textId="77777777" w:rsidR="00333999" w:rsidRPr="008F5048" w:rsidDel="00613F84" w:rsidRDefault="00333999" w:rsidP="00024BD3">
            <w:pPr>
              <w:pStyle w:val="TableParagraph"/>
              <w:numPr>
                <w:ilvl w:val="0"/>
                <w:numId w:val="44"/>
              </w:numPr>
              <w:kinsoku w:val="0"/>
              <w:overflowPunct w:val="0"/>
              <w:ind w:left="400" w:hanging="180"/>
              <w:jc w:val="both"/>
              <w:rPr>
                <w:rFonts w:cs="Arial"/>
                <w:b/>
                <w:bCs/>
                <w:iCs/>
                <w:sz w:val="20"/>
                <w:szCs w:val="20"/>
              </w:rPr>
            </w:pPr>
            <w:r w:rsidRPr="006656DE">
              <w:rPr>
                <w:rFonts w:cs="Arial"/>
                <w:sz w:val="20"/>
                <w:szCs w:val="20"/>
              </w:rPr>
              <w:t>Eastern</w:t>
            </w:r>
          </w:p>
        </w:tc>
        <w:tc>
          <w:tcPr>
            <w:tcW w:w="1779" w:type="dxa"/>
            <w:tcBorders>
              <w:top w:val="single" w:sz="8" w:space="0" w:color="000000"/>
              <w:left w:val="nil"/>
              <w:bottom w:val="single" w:sz="8" w:space="0" w:color="auto"/>
              <w:right w:val="single" w:sz="4" w:space="0" w:color="auto"/>
            </w:tcBorders>
            <w:shd w:val="clear" w:color="auto" w:fill="auto"/>
            <w:vAlign w:val="center"/>
          </w:tcPr>
          <w:p w14:paraId="5F14E7C8" w14:textId="77777777" w:rsidR="00333999" w:rsidRPr="006656DE" w:rsidRDefault="00333999" w:rsidP="00024BD3">
            <w:pPr>
              <w:pStyle w:val="TableParagraph"/>
              <w:kinsoku w:val="0"/>
              <w:overflowPunct w:val="0"/>
              <w:ind w:right="432"/>
              <w:jc w:val="both"/>
              <w:rPr>
                <w:rFonts w:eastAsia="Times New Roman" w:cs="Arial"/>
                <w:bCs/>
                <w:iCs/>
                <w:sz w:val="20"/>
                <w:szCs w:val="20"/>
              </w:rPr>
            </w:pPr>
            <w:r w:rsidRPr="006656DE">
              <w:rPr>
                <w:rFonts w:eastAsia="Times New Roman" w:cs="Arial"/>
                <w:bCs/>
                <w:iCs/>
                <w:sz w:val="20"/>
                <w:szCs w:val="20"/>
              </w:rPr>
              <w:t>344,815</w:t>
            </w:r>
          </w:p>
        </w:tc>
        <w:tc>
          <w:tcPr>
            <w:tcW w:w="1958" w:type="dxa"/>
            <w:tcBorders>
              <w:top w:val="single" w:sz="8" w:space="0" w:color="000000"/>
              <w:left w:val="nil"/>
              <w:bottom w:val="single" w:sz="8" w:space="0" w:color="auto"/>
              <w:right w:val="single" w:sz="4" w:space="0" w:color="auto"/>
            </w:tcBorders>
            <w:shd w:val="clear" w:color="auto" w:fill="auto"/>
            <w:vAlign w:val="center"/>
          </w:tcPr>
          <w:p w14:paraId="400CC177"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42,739</w:t>
            </w:r>
          </w:p>
        </w:tc>
        <w:tc>
          <w:tcPr>
            <w:tcW w:w="1689" w:type="dxa"/>
            <w:tcBorders>
              <w:top w:val="single" w:sz="8" w:space="0" w:color="000000"/>
              <w:left w:val="single" w:sz="4" w:space="0" w:color="auto"/>
              <w:bottom w:val="single" w:sz="8" w:space="0" w:color="auto"/>
              <w:right w:val="single" w:sz="4" w:space="0" w:color="auto"/>
            </w:tcBorders>
            <w:shd w:val="clear" w:color="auto" w:fill="auto"/>
            <w:vAlign w:val="center"/>
          </w:tcPr>
          <w:p w14:paraId="4466DBF4"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387,554</w:t>
            </w:r>
          </w:p>
        </w:tc>
        <w:tc>
          <w:tcPr>
            <w:tcW w:w="1625" w:type="dxa"/>
            <w:tcBorders>
              <w:top w:val="single" w:sz="8" w:space="0" w:color="000000"/>
              <w:left w:val="nil"/>
              <w:bottom w:val="single" w:sz="8" w:space="0" w:color="auto"/>
              <w:right w:val="single" w:sz="8" w:space="0" w:color="auto"/>
            </w:tcBorders>
            <w:shd w:val="clear" w:color="auto" w:fill="auto"/>
            <w:vAlign w:val="center"/>
          </w:tcPr>
          <w:p w14:paraId="391104CB" w14:textId="77777777" w:rsidR="00333999" w:rsidRPr="006656DE" w:rsidRDefault="00333999" w:rsidP="00024BD3">
            <w:pPr>
              <w:pStyle w:val="TableParagraph"/>
              <w:kinsoku w:val="0"/>
              <w:overflowPunct w:val="0"/>
              <w:jc w:val="both"/>
              <w:rPr>
                <w:rFonts w:eastAsia="Times New Roman" w:cs="Arial"/>
                <w:iCs/>
                <w:sz w:val="20"/>
                <w:szCs w:val="20"/>
              </w:rPr>
            </w:pPr>
            <w:r w:rsidRPr="006656DE">
              <w:rPr>
                <w:rFonts w:eastAsia="Times New Roman" w:cs="Arial"/>
                <w:iCs/>
                <w:sz w:val="20"/>
                <w:szCs w:val="20"/>
              </w:rPr>
              <w:t>11.0%</w:t>
            </w:r>
          </w:p>
        </w:tc>
      </w:tr>
      <w:tr w:rsidR="008F5048" w:rsidRPr="008F5048" w14:paraId="7C1098E2" w14:textId="77777777" w:rsidTr="001D7744">
        <w:trPr>
          <w:trHeight w:hRule="exact" w:val="361"/>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41A5B2F0" w14:textId="77777777" w:rsidR="00333999" w:rsidRPr="008F5048" w:rsidDel="00613F84" w:rsidRDefault="00333999" w:rsidP="00024BD3">
            <w:pPr>
              <w:pStyle w:val="TableParagraph"/>
              <w:numPr>
                <w:ilvl w:val="0"/>
                <w:numId w:val="44"/>
              </w:numPr>
              <w:kinsoku w:val="0"/>
              <w:overflowPunct w:val="0"/>
              <w:ind w:left="400" w:hanging="180"/>
              <w:jc w:val="both"/>
              <w:rPr>
                <w:rFonts w:cs="Arial"/>
                <w:b/>
                <w:bCs/>
                <w:iCs/>
                <w:sz w:val="20"/>
                <w:szCs w:val="20"/>
              </w:rPr>
            </w:pPr>
            <w:r w:rsidRPr="008F5048">
              <w:rPr>
                <w:rFonts w:cs="Arial"/>
                <w:sz w:val="20"/>
                <w:szCs w:val="20"/>
              </w:rPr>
              <w:t>South Central</w:t>
            </w:r>
          </w:p>
        </w:tc>
        <w:tc>
          <w:tcPr>
            <w:tcW w:w="1779" w:type="dxa"/>
            <w:tcBorders>
              <w:top w:val="single" w:sz="8" w:space="0" w:color="000000"/>
              <w:left w:val="nil"/>
              <w:bottom w:val="single" w:sz="8" w:space="0" w:color="auto"/>
              <w:right w:val="single" w:sz="4" w:space="0" w:color="auto"/>
            </w:tcBorders>
            <w:shd w:val="clear" w:color="auto" w:fill="auto"/>
            <w:vAlign w:val="center"/>
          </w:tcPr>
          <w:p w14:paraId="0CCE81A0" w14:textId="77777777" w:rsidR="00333999" w:rsidRPr="006656DE" w:rsidRDefault="00333999" w:rsidP="00024BD3">
            <w:pPr>
              <w:pStyle w:val="TableParagraph"/>
              <w:kinsoku w:val="0"/>
              <w:overflowPunct w:val="0"/>
              <w:ind w:right="432"/>
              <w:jc w:val="both"/>
              <w:rPr>
                <w:rFonts w:eastAsia="Times New Roman" w:cs="Arial"/>
                <w:bCs/>
                <w:iCs/>
                <w:sz w:val="20"/>
                <w:szCs w:val="20"/>
              </w:rPr>
            </w:pPr>
            <w:r w:rsidRPr="006656DE">
              <w:rPr>
                <w:rFonts w:eastAsia="Times New Roman" w:cs="Arial"/>
                <w:bCs/>
                <w:iCs/>
                <w:sz w:val="20"/>
                <w:szCs w:val="20"/>
              </w:rPr>
              <w:t>426,181</w:t>
            </w:r>
          </w:p>
        </w:tc>
        <w:tc>
          <w:tcPr>
            <w:tcW w:w="1958" w:type="dxa"/>
            <w:tcBorders>
              <w:top w:val="single" w:sz="8" w:space="0" w:color="000000"/>
              <w:left w:val="nil"/>
              <w:bottom w:val="single" w:sz="8" w:space="0" w:color="auto"/>
              <w:right w:val="single" w:sz="4" w:space="0" w:color="auto"/>
            </w:tcBorders>
            <w:shd w:val="clear" w:color="auto" w:fill="auto"/>
            <w:vAlign w:val="center"/>
          </w:tcPr>
          <w:p w14:paraId="694F81D5"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42,950</w:t>
            </w:r>
          </w:p>
        </w:tc>
        <w:tc>
          <w:tcPr>
            <w:tcW w:w="1689" w:type="dxa"/>
            <w:tcBorders>
              <w:top w:val="single" w:sz="8" w:space="0" w:color="000000"/>
              <w:left w:val="single" w:sz="4" w:space="0" w:color="auto"/>
              <w:bottom w:val="single" w:sz="8" w:space="0" w:color="auto"/>
              <w:right w:val="single" w:sz="4" w:space="0" w:color="auto"/>
            </w:tcBorders>
            <w:shd w:val="clear" w:color="auto" w:fill="auto"/>
            <w:vAlign w:val="center"/>
          </w:tcPr>
          <w:p w14:paraId="2A34B6C0" w14:textId="77777777" w:rsidR="00333999" w:rsidRPr="006656DE" w:rsidRDefault="00333999" w:rsidP="00024BD3">
            <w:pPr>
              <w:pStyle w:val="TableParagraph"/>
              <w:kinsoku w:val="0"/>
              <w:overflowPunct w:val="0"/>
              <w:ind w:right="432"/>
              <w:jc w:val="both"/>
              <w:rPr>
                <w:rFonts w:eastAsia="Times New Roman" w:cs="Arial"/>
                <w:iCs/>
                <w:sz w:val="20"/>
                <w:szCs w:val="20"/>
              </w:rPr>
            </w:pPr>
            <w:r w:rsidRPr="006656DE">
              <w:rPr>
                <w:rFonts w:eastAsia="Times New Roman" w:cs="Arial"/>
                <w:iCs/>
                <w:sz w:val="20"/>
                <w:szCs w:val="20"/>
              </w:rPr>
              <w:t>469,131</w:t>
            </w:r>
          </w:p>
        </w:tc>
        <w:tc>
          <w:tcPr>
            <w:tcW w:w="1625" w:type="dxa"/>
            <w:tcBorders>
              <w:top w:val="single" w:sz="8" w:space="0" w:color="000000"/>
              <w:left w:val="nil"/>
              <w:bottom w:val="single" w:sz="8" w:space="0" w:color="auto"/>
              <w:right w:val="single" w:sz="8" w:space="0" w:color="auto"/>
            </w:tcBorders>
            <w:shd w:val="clear" w:color="auto" w:fill="auto"/>
            <w:vAlign w:val="center"/>
          </w:tcPr>
          <w:p w14:paraId="4353AC95" w14:textId="77777777" w:rsidR="00333999" w:rsidRPr="006656DE" w:rsidRDefault="00333999" w:rsidP="00024BD3">
            <w:pPr>
              <w:pStyle w:val="TableParagraph"/>
              <w:kinsoku w:val="0"/>
              <w:overflowPunct w:val="0"/>
              <w:jc w:val="both"/>
              <w:rPr>
                <w:rFonts w:eastAsia="Times New Roman" w:cs="Arial"/>
                <w:iCs/>
                <w:sz w:val="20"/>
                <w:szCs w:val="20"/>
              </w:rPr>
            </w:pPr>
            <w:r w:rsidRPr="006656DE">
              <w:rPr>
                <w:rFonts w:eastAsia="Times New Roman" w:cs="Arial"/>
                <w:iCs/>
                <w:sz w:val="20"/>
                <w:szCs w:val="20"/>
              </w:rPr>
              <w:t>9.2%</w:t>
            </w:r>
          </w:p>
        </w:tc>
      </w:tr>
      <w:tr w:rsidR="008F5048" w:rsidRPr="008F5048" w14:paraId="0CB880C5" w14:textId="77777777" w:rsidTr="001D7744">
        <w:trPr>
          <w:trHeight w:hRule="exact" w:val="361"/>
          <w:tblHeader/>
        </w:trPr>
        <w:tc>
          <w:tcPr>
            <w:tcW w:w="2114" w:type="dxa"/>
            <w:tcBorders>
              <w:top w:val="single" w:sz="8" w:space="0" w:color="000000"/>
              <w:left w:val="single" w:sz="8" w:space="0" w:color="000000"/>
              <w:bottom w:val="single" w:sz="8" w:space="0" w:color="000000"/>
              <w:right w:val="single" w:sz="8" w:space="0" w:color="000000"/>
            </w:tcBorders>
            <w:vAlign w:val="center"/>
          </w:tcPr>
          <w:p w14:paraId="23C5FE41" w14:textId="77777777" w:rsidR="00333999" w:rsidRPr="008F5048" w:rsidRDefault="00333999" w:rsidP="00024BD3">
            <w:pPr>
              <w:pStyle w:val="TableParagraph"/>
              <w:kinsoku w:val="0"/>
              <w:overflowPunct w:val="0"/>
              <w:ind w:left="101"/>
              <w:jc w:val="both"/>
              <w:rPr>
                <w:rFonts w:cs="Arial"/>
                <w:b/>
              </w:rPr>
            </w:pPr>
            <w:r w:rsidRPr="008F5048">
              <w:rPr>
                <w:rFonts w:cs="Arial"/>
                <w:b/>
                <w:bCs/>
                <w:iCs/>
                <w:sz w:val="20"/>
                <w:szCs w:val="20"/>
              </w:rPr>
              <w:t>Total</w:t>
            </w:r>
          </w:p>
        </w:tc>
        <w:tc>
          <w:tcPr>
            <w:tcW w:w="1779" w:type="dxa"/>
            <w:tcBorders>
              <w:top w:val="single" w:sz="8" w:space="0" w:color="000000"/>
              <w:left w:val="nil"/>
              <w:bottom w:val="single" w:sz="8" w:space="0" w:color="auto"/>
              <w:right w:val="single" w:sz="4" w:space="0" w:color="auto"/>
            </w:tcBorders>
            <w:shd w:val="clear" w:color="auto" w:fill="auto"/>
            <w:vAlign w:val="center"/>
          </w:tcPr>
          <w:p w14:paraId="7DB7C9AB" w14:textId="77777777" w:rsidR="00333999" w:rsidRPr="008F5048" w:rsidRDefault="00333999" w:rsidP="00024BD3">
            <w:pPr>
              <w:pStyle w:val="TableParagraph"/>
              <w:kinsoku w:val="0"/>
              <w:overflowPunct w:val="0"/>
              <w:ind w:right="432"/>
              <w:jc w:val="both"/>
              <w:rPr>
                <w:rFonts w:cs="Arial"/>
                <w:b/>
                <w:sz w:val="20"/>
                <w:szCs w:val="20"/>
              </w:rPr>
            </w:pPr>
            <w:r w:rsidRPr="006656DE">
              <w:rPr>
                <w:rFonts w:eastAsia="Times New Roman" w:cs="Arial"/>
                <w:b/>
                <w:iCs/>
                <w:sz w:val="20"/>
                <w:szCs w:val="20"/>
              </w:rPr>
              <w:t>1,778,219</w:t>
            </w:r>
          </w:p>
        </w:tc>
        <w:tc>
          <w:tcPr>
            <w:tcW w:w="1958" w:type="dxa"/>
            <w:tcBorders>
              <w:top w:val="single" w:sz="8" w:space="0" w:color="000000"/>
              <w:left w:val="nil"/>
              <w:bottom w:val="single" w:sz="8" w:space="0" w:color="auto"/>
              <w:right w:val="single" w:sz="4" w:space="0" w:color="auto"/>
            </w:tcBorders>
            <w:shd w:val="clear" w:color="auto" w:fill="auto"/>
            <w:vAlign w:val="center"/>
          </w:tcPr>
          <w:p w14:paraId="0EC09EF5" w14:textId="77777777" w:rsidR="00333999" w:rsidRPr="008F5048" w:rsidRDefault="00333999" w:rsidP="00024BD3">
            <w:pPr>
              <w:pStyle w:val="TableParagraph"/>
              <w:kinsoku w:val="0"/>
              <w:overflowPunct w:val="0"/>
              <w:ind w:right="432"/>
              <w:jc w:val="both"/>
              <w:rPr>
                <w:rFonts w:cs="Arial"/>
                <w:b/>
                <w:sz w:val="20"/>
                <w:szCs w:val="20"/>
              </w:rPr>
            </w:pPr>
            <w:r w:rsidRPr="006656DE">
              <w:rPr>
                <w:rFonts w:eastAsia="Times New Roman" w:cs="Arial"/>
                <w:b/>
                <w:iCs/>
                <w:sz w:val="20"/>
                <w:szCs w:val="20"/>
              </w:rPr>
              <w:t>282,960</w:t>
            </w:r>
          </w:p>
        </w:tc>
        <w:tc>
          <w:tcPr>
            <w:tcW w:w="1689" w:type="dxa"/>
            <w:tcBorders>
              <w:top w:val="single" w:sz="8" w:space="0" w:color="000000"/>
              <w:left w:val="single" w:sz="4" w:space="0" w:color="auto"/>
              <w:bottom w:val="single" w:sz="8" w:space="0" w:color="auto"/>
              <w:right w:val="single" w:sz="4" w:space="0" w:color="auto"/>
            </w:tcBorders>
            <w:shd w:val="clear" w:color="auto" w:fill="auto"/>
            <w:vAlign w:val="center"/>
          </w:tcPr>
          <w:p w14:paraId="0E9EDDF8" w14:textId="77777777" w:rsidR="00333999" w:rsidRPr="008F5048" w:rsidRDefault="00333999" w:rsidP="00024BD3">
            <w:pPr>
              <w:pStyle w:val="TableParagraph"/>
              <w:kinsoku w:val="0"/>
              <w:overflowPunct w:val="0"/>
              <w:ind w:right="432"/>
              <w:jc w:val="both"/>
              <w:rPr>
                <w:rFonts w:cs="Arial"/>
                <w:b/>
                <w:sz w:val="20"/>
                <w:szCs w:val="20"/>
              </w:rPr>
            </w:pPr>
            <w:r w:rsidRPr="006656DE">
              <w:rPr>
                <w:rFonts w:eastAsia="Times New Roman" w:cs="Arial"/>
                <w:b/>
                <w:iCs/>
                <w:sz w:val="20"/>
                <w:szCs w:val="20"/>
              </w:rPr>
              <w:t>2,061,179</w:t>
            </w:r>
          </w:p>
        </w:tc>
        <w:tc>
          <w:tcPr>
            <w:tcW w:w="1625" w:type="dxa"/>
            <w:tcBorders>
              <w:top w:val="single" w:sz="8" w:space="0" w:color="000000"/>
              <w:left w:val="nil"/>
              <w:bottom w:val="single" w:sz="8" w:space="0" w:color="auto"/>
              <w:right w:val="single" w:sz="8" w:space="0" w:color="auto"/>
            </w:tcBorders>
            <w:shd w:val="clear" w:color="auto" w:fill="auto"/>
            <w:vAlign w:val="center"/>
          </w:tcPr>
          <w:p w14:paraId="7FB63913" w14:textId="77777777" w:rsidR="00333999" w:rsidRPr="006656DE" w:rsidRDefault="00333999" w:rsidP="00024BD3">
            <w:pPr>
              <w:pStyle w:val="TableParagraph"/>
              <w:kinsoku w:val="0"/>
              <w:overflowPunct w:val="0"/>
              <w:jc w:val="both"/>
              <w:rPr>
                <w:rFonts w:cs="Arial"/>
                <w:b/>
                <w:sz w:val="20"/>
                <w:szCs w:val="20"/>
              </w:rPr>
            </w:pPr>
            <w:r w:rsidRPr="006656DE">
              <w:rPr>
                <w:rFonts w:eastAsia="Times New Roman" w:cs="Arial"/>
                <w:b/>
                <w:iCs/>
                <w:sz w:val="20"/>
                <w:szCs w:val="20"/>
              </w:rPr>
              <w:t>13.7%</w:t>
            </w:r>
          </w:p>
        </w:tc>
      </w:tr>
    </w:tbl>
    <w:p w14:paraId="1D30CA94" w14:textId="77777777" w:rsidR="00333999" w:rsidRPr="00400F29" w:rsidRDefault="00333999" w:rsidP="00024BD3">
      <w:pPr>
        <w:jc w:val="both"/>
        <w:rPr>
          <w:rFonts w:cs="Arial"/>
        </w:rPr>
      </w:pPr>
    </w:p>
    <w:p w14:paraId="73D84E67" w14:textId="77777777" w:rsidR="00250D7A" w:rsidRPr="008F5048" w:rsidRDefault="00250D7A" w:rsidP="00024BD3">
      <w:pPr>
        <w:jc w:val="both"/>
        <w:rPr>
          <w:rFonts w:cs="Arial"/>
        </w:rPr>
      </w:pPr>
      <w:r w:rsidRPr="00400F29">
        <w:rPr>
          <w:rFonts w:cs="Arial"/>
        </w:rPr>
        <w:t xml:space="preserve">On the west side of the state, WSDOT has 48 </w:t>
      </w:r>
      <w:r>
        <w:rPr>
          <w:rFonts w:cs="Arial"/>
        </w:rPr>
        <w:t>sites</w:t>
      </w:r>
      <w:r w:rsidRPr="00400F29">
        <w:rPr>
          <w:rFonts w:cs="Arial"/>
        </w:rPr>
        <w:t xml:space="preserve"> in three regions of aggregated </w:t>
      </w:r>
      <w:r w:rsidRPr="008F5048">
        <w:rPr>
          <w:rFonts w:cs="Arial"/>
        </w:rPr>
        <w:t>counties</w:t>
      </w:r>
      <w:r w:rsidR="00DC7D9C">
        <w:rPr>
          <w:rFonts w:cs="Arial"/>
        </w:rPr>
        <w:t>.</w:t>
      </w:r>
      <w:r w:rsidRPr="008F5048">
        <w:rPr>
          <w:rFonts w:cs="Arial"/>
        </w:rPr>
        <w:t xml:space="preserve"> </w:t>
      </w:r>
      <w:r w:rsidR="00DC7D9C">
        <w:rPr>
          <w:rFonts w:cs="Arial"/>
        </w:rPr>
        <w:t>S</w:t>
      </w:r>
      <w:r w:rsidR="000C3227">
        <w:rPr>
          <w:rFonts w:cs="Arial"/>
        </w:rPr>
        <w:t>even</w:t>
      </w:r>
      <w:r w:rsidR="000C3227" w:rsidRPr="008F5048">
        <w:rPr>
          <w:rFonts w:cs="Arial"/>
        </w:rPr>
        <w:t xml:space="preserve"> </w:t>
      </w:r>
      <w:r w:rsidRPr="008F5048">
        <w:rPr>
          <w:rFonts w:cs="Arial"/>
        </w:rPr>
        <w:t xml:space="preserve">of these sites did not receive biodiesel. Overall biodiesel use in west side sites eligible for biodiesel </w:t>
      </w:r>
      <w:r w:rsidRPr="006656DE">
        <w:rPr>
          <w:rFonts w:cs="Arial"/>
        </w:rPr>
        <w:t>rose a percentage to 18.9</w:t>
      </w:r>
      <w:r w:rsidR="00292F2C">
        <w:rPr>
          <w:rFonts w:cs="Arial"/>
        </w:rPr>
        <w:t>%</w:t>
      </w:r>
      <w:r w:rsidRPr="008F5048">
        <w:rPr>
          <w:rFonts w:cs="Arial"/>
        </w:rPr>
        <w:t xml:space="preserve"> from </w:t>
      </w:r>
      <w:r w:rsidRPr="006656DE">
        <w:rPr>
          <w:rFonts w:cs="Arial"/>
        </w:rPr>
        <w:t>17.9</w:t>
      </w:r>
      <w:r w:rsidR="00292F2C">
        <w:rPr>
          <w:rFonts w:cs="Arial"/>
        </w:rPr>
        <w:t>%</w:t>
      </w:r>
      <w:r w:rsidRPr="008F5048">
        <w:rPr>
          <w:rFonts w:cs="Arial"/>
        </w:rPr>
        <w:t xml:space="preserve"> in </w:t>
      </w:r>
      <w:r w:rsidRPr="006656DE">
        <w:rPr>
          <w:rFonts w:cs="Arial"/>
        </w:rPr>
        <w:t>2019</w:t>
      </w:r>
      <w:r w:rsidRPr="008F5048">
        <w:rPr>
          <w:rFonts w:cs="Arial"/>
        </w:rPr>
        <w:t xml:space="preserve">. </w:t>
      </w:r>
      <w:r w:rsidRPr="006656DE">
        <w:rPr>
          <w:rFonts w:cs="Arial"/>
        </w:rPr>
        <w:t>The Northwest region saw the highest level of biodiesel use, however lagged behind in biodiesel percentage due to inconsistent vendor deliveries.</w:t>
      </w:r>
    </w:p>
    <w:p w14:paraId="4C44BFED" w14:textId="77777777" w:rsidR="00250D7A" w:rsidRPr="008F5048" w:rsidRDefault="00250D7A" w:rsidP="00024BD3">
      <w:pPr>
        <w:jc w:val="both"/>
        <w:rPr>
          <w:rFonts w:cs="Arial"/>
        </w:rPr>
      </w:pPr>
    </w:p>
    <w:p w14:paraId="0483C057" w14:textId="77777777" w:rsidR="00250D7A" w:rsidRPr="008F5048" w:rsidRDefault="00250D7A" w:rsidP="00024BD3">
      <w:pPr>
        <w:jc w:val="both"/>
        <w:rPr>
          <w:rFonts w:cs="Arial"/>
        </w:rPr>
      </w:pPr>
      <w:r w:rsidRPr="006656DE">
        <w:rPr>
          <w:rFonts w:cs="Arial"/>
        </w:rPr>
        <w:t xml:space="preserve">The Olympic region’s biodiesel volume followed closely but with a higher biodiesel blend. The Southwest region purchased considerably less total fuel but was comparable to the overall blend percentage </w:t>
      </w:r>
      <w:r w:rsidR="00DC7D9C">
        <w:rPr>
          <w:rFonts w:cs="Arial"/>
        </w:rPr>
        <w:t>for</w:t>
      </w:r>
      <w:r w:rsidR="00DC7D9C" w:rsidRPr="006656DE">
        <w:rPr>
          <w:rFonts w:cs="Arial"/>
        </w:rPr>
        <w:t xml:space="preserve"> </w:t>
      </w:r>
      <w:r w:rsidRPr="006656DE">
        <w:rPr>
          <w:rFonts w:cs="Arial"/>
        </w:rPr>
        <w:t>western Washington.</w:t>
      </w:r>
    </w:p>
    <w:p w14:paraId="4D7689E5" w14:textId="77777777" w:rsidR="00250D7A" w:rsidRPr="008F5048" w:rsidRDefault="00250D7A" w:rsidP="00024BD3">
      <w:pPr>
        <w:jc w:val="both"/>
        <w:rPr>
          <w:rFonts w:cs="Arial"/>
        </w:rPr>
      </w:pPr>
    </w:p>
    <w:p w14:paraId="5794EA2F" w14:textId="77777777" w:rsidR="00250D7A" w:rsidRDefault="00250D7A" w:rsidP="00024BD3">
      <w:pPr>
        <w:jc w:val="both"/>
        <w:rPr>
          <w:rFonts w:cs="Arial"/>
        </w:rPr>
      </w:pPr>
      <w:r w:rsidRPr="008F5048">
        <w:rPr>
          <w:rFonts w:cs="Arial"/>
        </w:rPr>
        <w:t>On the east side, WSDOT has 57 sites in three regions of aggregated counties</w:t>
      </w:r>
      <w:r w:rsidR="00DC7D9C">
        <w:rPr>
          <w:rFonts w:cs="Arial"/>
        </w:rPr>
        <w:t>.</w:t>
      </w:r>
      <w:r w:rsidRPr="008F5048">
        <w:rPr>
          <w:rFonts w:cs="Arial"/>
        </w:rPr>
        <w:t xml:space="preserve"> </w:t>
      </w:r>
      <w:r w:rsidR="00DC7D9C">
        <w:rPr>
          <w:rFonts w:cs="Arial"/>
        </w:rPr>
        <w:t>F</w:t>
      </w:r>
      <w:r w:rsidR="000C3227">
        <w:rPr>
          <w:rFonts w:cs="Arial"/>
        </w:rPr>
        <w:t>our</w:t>
      </w:r>
      <w:r w:rsidRPr="008F5048">
        <w:rPr>
          <w:rFonts w:cs="Arial"/>
        </w:rPr>
        <w:t xml:space="preserve"> of these sites did not receive biodiesel. Overall biodiesel use in east side sites eligible for biodiesel fell to 9.7</w:t>
      </w:r>
      <w:r w:rsidR="00292F2C">
        <w:rPr>
          <w:rFonts w:cs="Arial"/>
        </w:rPr>
        <w:t>%</w:t>
      </w:r>
      <w:r w:rsidRPr="008F5048">
        <w:rPr>
          <w:rFonts w:cs="Arial"/>
        </w:rPr>
        <w:t xml:space="preserve"> from 10.6</w:t>
      </w:r>
      <w:r w:rsidR="00292F2C">
        <w:rPr>
          <w:rFonts w:cs="Arial"/>
        </w:rPr>
        <w:t>%</w:t>
      </w:r>
      <w:r w:rsidRPr="008F5048">
        <w:rPr>
          <w:rFonts w:cs="Arial"/>
        </w:rPr>
        <w:t xml:space="preserve"> in 2019. </w:t>
      </w:r>
      <w:r w:rsidRPr="006656DE">
        <w:rPr>
          <w:rFonts w:cs="Arial"/>
        </w:rPr>
        <w:t xml:space="preserve">Eastern and South Central </w:t>
      </w:r>
      <w:r w:rsidRPr="008F5048">
        <w:rPr>
          <w:rFonts w:cs="Arial"/>
        </w:rPr>
        <w:t xml:space="preserve">regions received </w:t>
      </w:r>
      <w:r w:rsidRPr="006656DE">
        <w:rPr>
          <w:rFonts w:cs="Arial"/>
        </w:rPr>
        <w:t xml:space="preserve">about </w:t>
      </w:r>
      <w:r w:rsidRPr="008F5048">
        <w:rPr>
          <w:rFonts w:cs="Arial"/>
        </w:rPr>
        <w:t xml:space="preserve">the same amount of biodiesel. </w:t>
      </w:r>
      <w:r w:rsidRPr="006656DE">
        <w:rPr>
          <w:rFonts w:cs="Arial"/>
        </w:rPr>
        <w:t xml:space="preserve">North Central Region received considerably less biodiesel and their overall diesel purchases were lower compared to the other two regions. Biodiesel blends were similar for all </w:t>
      </w:r>
      <w:r w:rsidR="000C3227">
        <w:rPr>
          <w:rFonts w:cs="Arial"/>
        </w:rPr>
        <w:t>three</w:t>
      </w:r>
      <w:r w:rsidRPr="006656DE">
        <w:rPr>
          <w:rFonts w:cs="Arial"/>
        </w:rPr>
        <w:t xml:space="preserve"> regions. </w:t>
      </w:r>
      <w:r w:rsidRPr="008F5048">
        <w:rPr>
          <w:rFonts w:cs="Arial"/>
        </w:rPr>
        <w:t>Inconsistent vendor deliveries continued to be a problem.</w:t>
      </w:r>
    </w:p>
    <w:p w14:paraId="06E8FEAB" w14:textId="77777777" w:rsidR="008F5048" w:rsidRPr="008F5048" w:rsidRDefault="008F5048" w:rsidP="00024BD3">
      <w:pPr>
        <w:jc w:val="both"/>
        <w:rPr>
          <w:rFonts w:cs="Arial"/>
        </w:rPr>
      </w:pPr>
    </w:p>
    <w:p w14:paraId="337EA7AF" w14:textId="77777777" w:rsidR="007272BE" w:rsidRPr="003A248D" w:rsidRDefault="008F5048" w:rsidP="00024BD3">
      <w:pPr>
        <w:pStyle w:val="BodyText"/>
        <w:jc w:val="both"/>
      </w:pPr>
      <w:r>
        <w:rPr>
          <w:noProof/>
        </w:rPr>
        <w:drawing>
          <wp:inline distT="0" distB="0" distL="0" distR="0" wp14:anchorId="143F0441" wp14:editId="5E0F5FA0">
            <wp:extent cx="5943600" cy="2600325"/>
            <wp:effectExtent l="0" t="0" r="0" b="9525"/>
            <wp:docPr id="11" name="Chart 11" descr="Combination bar and line graph showing WSDOT Biodiesel % of Total Diesel Purchased. Chart shows results from 2007 to 2020. In 2007: Western WA 2.3%, Eastern WA 0.0%, Statewide 1.2%.&#10;In 2008: Western WA 8.6%, Eastern WA 0.0%, Statewide 4.4%.&#10;In 2009: Western WA 10.1%, Eastern WA 0.0%, Statewide 5.4%.&#10;In 2010: Western WA 17.7%, Eastern WA 1.5%, Statewide 9.9%.&#10;In 2011: Western WA 20.8%, Eastern WA 4.4%, Statewide 13.0%.&#10;In 2012: Western WA 16.2%, Eastern WA 6.0%, Statewide 11.1%.&#10;In 2013: Western WA 16.1%, Eastern WA 9.3%, Statewide 12.8%.&#10;In 2014: Western WA 15.7%, Eastern WA 11.2%, Statewide 13.2%.&#10;In 2015: Western WA 17.8%, Eastern WA 11.4%, Statewide 14.5%. &#10;In 2016: Western WA 16.8%, Eastern WA 11.8%, Statewide 14.1%.&#10;In 2017: Western WA 19.0%, Eastern WA 10.0%, Statewide 14.0%.&#10;In 2018: Western WA 19.0%, Eastern WA 11.0%, Statewide 15.0%.&#10;In 2019: Western WA 17.9%, Eastern WA 10.6%, Statewide 13.8%.&#10;In 2020: Western WA 18.9%, Eastern WA 9.7%, Statewide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F3BBF1" w14:textId="77777777" w:rsidR="004B1DF0" w:rsidRPr="00A53E6D" w:rsidRDefault="005C557A" w:rsidP="00024BD3">
      <w:pPr>
        <w:pStyle w:val="Heading1"/>
        <w:jc w:val="both"/>
        <w:rPr>
          <w:rFonts w:cs="Arial"/>
        </w:rPr>
      </w:pPr>
      <w:r w:rsidRPr="00A53E6D">
        <w:rPr>
          <w:rFonts w:cs="Arial"/>
        </w:rPr>
        <w:lastRenderedPageBreak/>
        <w:t>Fuel Quality</w:t>
      </w:r>
    </w:p>
    <w:p w14:paraId="4D7DDE72" w14:textId="77777777" w:rsidR="00F8450E" w:rsidRPr="00BD135D" w:rsidRDefault="00F8450E" w:rsidP="00024BD3">
      <w:pPr>
        <w:jc w:val="both"/>
        <w:rPr>
          <w:rFonts w:eastAsia="Times New Roman" w:cs="Arial"/>
        </w:rPr>
      </w:pPr>
      <w:r w:rsidRPr="00BD135D">
        <w:rPr>
          <w:rFonts w:eastAsia="Times New Roman" w:cs="Arial"/>
        </w:rPr>
        <w:t>The Washington State Department of Agriculture (WSDA) monitors the quality of diesel and biodiesel fuels as part of the state’s Motor Fuel Quality Program. During 20</w:t>
      </w:r>
      <w:r>
        <w:rPr>
          <w:rFonts w:eastAsia="Times New Roman" w:cs="Arial"/>
        </w:rPr>
        <w:t>20</w:t>
      </w:r>
      <w:r w:rsidRPr="00BD135D">
        <w:rPr>
          <w:rFonts w:eastAsia="Times New Roman" w:cs="Arial"/>
        </w:rPr>
        <w:t xml:space="preserve">, WSDA submitted </w:t>
      </w:r>
      <w:r>
        <w:rPr>
          <w:rFonts w:eastAsia="Times New Roman" w:cs="Arial"/>
        </w:rPr>
        <w:t>66</w:t>
      </w:r>
      <w:r w:rsidRPr="00BD135D">
        <w:rPr>
          <w:rFonts w:eastAsia="Times New Roman" w:cs="Arial"/>
        </w:rPr>
        <w:t xml:space="preserve"> diesel and biodiesel blend fuel samples to a contracted laboratory to test compliance with</w:t>
      </w:r>
      <w:r w:rsidR="00620331" w:rsidRPr="00620331">
        <w:rPr>
          <w:rFonts w:eastAsia="Times New Roman" w:cs="Arial"/>
        </w:rPr>
        <w:t xml:space="preserve"> </w:t>
      </w:r>
      <w:r w:rsidR="00620331">
        <w:rPr>
          <w:rFonts w:eastAsia="Times New Roman" w:cs="Arial"/>
        </w:rPr>
        <w:t>American Society for Testing and Materials (</w:t>
      </w:r>
      <w:r w:rsidR="00620331" w:rsidRPr="00BD135D">
        <w:rPr>
          <w:rFonts w:eastAsia="Times New Roman" w:cs="Arial"/>
        </w:rPr>
        <w:t>ASTM</w:t>
      </w:r>
      <w:r w:rsidR="00620331">
        <w:rPr>
          <w:rFonts w:eastAsia="Times New Roman" w:cs="Arial"/>
        </w:rPr>
        <w:t>)</w:t>
      </w:r>
      <w:r w:rsidR="00620331" w:rsidRPr="00BD135D">
        <w:rPr>
          <w:rFonts w:eastAsia="Times New Roman" w:cs="Arial"/>
        </w:rPr>
        <w:t xml:space="preserve"> </w:t>
      </w:r>
      <w:r w:rsidRPr="00BD135D">
        <w:rPr>
          <w:rFonts w:eastAsia="Times New Roman" w:cs="Arial"/>
        </w:rPr>
        <w:t xml:space="preserve">quality standards. Samples were obtained from fuel terminals, retail outlets, and state and local government fueling sites. They included </w:t>
      </w:r>
      <w:r>
        <w:rPr>
          <w:rFonts w:eastAsia="Times New Roman" w:cs="Arial"/>
        </w:rPr>
        <w:t>59</w:t>
      </w:r>
      <w:r w:rsidRPr="00BD135D">
        <w:rPr>
          <w:rFonts w:eastAsia="Times New Roman" w:cs="Arial"/>
        </w:rPr>
        <w:t xml:space="preserve"> diesel samples, </w:t>
      </w:r>
      <w:r>
        <w:rPr>
          <w:rFonts w:eastAsia="Times New Roman" w:cs="Arial"/>
        </w:rPr>
        <w:t>and seven B20 samples</w:t>
      </w:r>
      <w:r w:rsidRPr="00BD135D">
        <w:rPr>
          <w:rFonts w:eastAsia="Times New Roman" w:cs="Arial"/>
        </w:rPr>
        <w:t xml:space="preserve">. The diesel samples included </w:t>
      </w:r>
      <w:r>
        <w:rPr>
          <w:rFonts w:eastAsia="Times New Roman" w:cs="Arial"/>
        </w:rPr>
        <w:t>41</w:t>
      </w:r>
      <w:r w:rsidRPr="00BD135D">
        <w:rPr>
          <w:rFonts w:eastAsia="Times New Roman" w:cs="Arial"/>
        </w:rPr>
        <w:t xml:space="preserve"> samples from pumps with the added label “may contain up to </w:t>
      </w:r>
      <w:r w:rsidR="000B2DE7">
        <w:rPr>
          <w:rFonts w:eastAsia="Times New Roman" w:cs="Arial"/>
        </w:rPr>
        <w:t>5</w:t>
      </w:r>
      <w:r w:rsidR="00292F2C">
        <w:rPr>
          <w:rFonts w:eastAsia="Times New Roman" w:cs="Arial"/>
        </w:rPr>
        <w:t>%</w:t>
      </w:r>
      <w:r w:rsidRPr="00BD135D">
        <w:rPr>
          <w:rFonts w:eastAsia="Times New Roman" w:cs="Arial"/>
        </w:rPr>
        <w:t xml:space="preserve"> biodiesel.” </w:t>
      </w:r>
      <w:r w:rsidR="00E15DDF">
        <w:rPr>
          <w:rFonts w:eastAsia="Times New Roman" w:cs="Arial"/>
        </w:rPr>
        <w:t>Twelve</w:t>
      </w:r>
      <w:r w:rsidRPr="00BD135D">
        <w:rPr>
          <w:rFonts w:eastAsia="Times New Roman" w:cs="Arial"/>
        </w:rPr>
        <w:t xml:space="preserve"> of these samples contained biodiesel.</w:t>
      </w:r>
    </w:p>
    <w:p w14:paraId="70CBA9B5" w14:textId="77777777" w:rsidR="00F8450E" w:rsidRPr="00BD135D" w:rsidRDefault="00F8450E" w:rsidP="00024BD3">
      <w:pPr>
        <w:jc w:val="both"/>
        <w:rPr>
          <w:rFonts w:eastAsia="Times New Roman" w:cs="Arial"/>
        </w:rPr>
      </w:pPr>
    </w:p>
    <w:p w14:paraId="503A6CFA" w14:textId="77777777" w:rsidR="00F8450E" w:rsidRPr="00BD135D" w:rsidRDefault="00F8450E" w:rsidP="00024BD3">
      <w:pPr>
        <w:jc w:val="both"/>
        <w:rPr>
          <w:rFonts w:eastAsia="Times New Roman" w:cs="Arial"/>
        </w:rPr>
      </w:pPr>
      <w:r w:rsidRPr="00BD135D">
        <w:rPr>
          <w:rFonts w:eastAsia="Times New Roman" w:cs="Arial"/>
        </w:rPr>
        <w:t xml:space="preserve">Test results continued to show problems with diesel meeting flash point specifications, </w:t>
      </w:r>
      <w:r w:rsidR="00DC7D9C">
        <w:rPr>
          <w:rFonts w:eastAsia="Times New Roman" w:cs="Arial"/>
        </w:rPr>
        <w:t>though there has been</w:t>
      </w:r>
      <w:r w:rsidR="00DC7D9C" w:rsidRPr="00BD135D">
        <w:rPr>
          <w:rFonts w:eastAsia="Times New Roman" w:cs="Arial"/>
        </w:rPr>
        <w:t xml:space="preserve"> </w:t>
      </w:r>
      <w:r w:rsidRPr="00BD135D">
        <w:rPr>
          <w:rFonts w:eastAsia="Times New Roman" w:cs="Arial"/>
        </w:rPr>
        <w:t xml:space="preserve">continued improvement over prior years. Of the </w:t>
      </w:r>
      <w:r>
        <w:rPr>
          <w:rFonts w:eastAsia="Times New Roman" w:cs="Arial"/>
        </w:rPr>
        <w:t>five</w:t>
      </w:r>
      <w:r w:rsidRPr="00BD135D">
        <w:rPr>
          <w:rFonts w:eastAsia="Times New Roman" w:cs="Arial"/>
        </w:rPr>
        <w:t xml:space="preserve"> samples that did not meet ASTM specifications, </w:t>
      </w:r>
      <w:r>
        <w:rPr>
          <w:rFonts w:eastAsia="Times New Roman" w:cs="Arial"/>
        </w:rPr>
        <w:t>four</w:t>
      </w:r>
      <w:r w:rsidRPr="00BD135D">
        <w:rPr>
          <w:rFonts w:eastAsia="Times New Roman" w:cs="Arial"/>
        </w:rPr>
        <w:t xml:space="preserve"> failed to meet flash point specifications. Flash point failures do not affect engine performance but can be an indicator of contamination. These failures are often caused by contamination with small amounts of gasoline usually attributed to tank management in transport trucks or design flaws with underground storage tank systems. WSDA issued </w:t>
      </w:r>
      <w:r>
        <w:rPr>
          <w:rFonts w:eastAsia="Times New Roman" w:cs="Arial"/>
        </w:rPr>
        <w:t>one</w:t>
      </w:r>
      <w:r w:rsidRPr="00BD135D">
        <w:rPr>
          <w:rFonts w:eastAsia="Times New Roman" w:cs="Arial"/>
        </w:rPr>
        <w:t xml:space="preserve"> notice of correction for selling diesel fuel that did not meet specifications. All B20 and B99 fuel samples met ASTM specifications. All terminal testing results passed.</w:t>
      </w:r>
    </w:p>
    <w:p w14:paraId="6C73A622" w14:textId="77777777" w:rsidR="00F8450E" w:rsidRPr="00BD135D" w:rsidRDefault="00F8450E" w:rsidP="00024BD3">
      <w:pPr>
        <w:jc w:val="both"/>
        <w:rPr>
          <w:rFonts w:eastAsia="Times New Roman" w:cs="Arial"/>
        </w:rPr>
      </w:pPr>
    </w:p>
    <w:p w14:paraId="2BB95519" w14:textId="77777777" w:rsidR="00F8450E" w:rsidRPr="00BD135D" w:rsidRDefault="00F8450E" w:rsidP="00024BD3">
      <w:pPr>
        <w:jc w:val="both"/>
        <w:rPr>
          <w:rFonts w:eastAsia="Times New Roman" w:cs="Arial"/>
        </w:rPr>
      </w:pPr>
      <w:r w:rsidRPr="00BD135D">
        <w:rPr>
          <w:rFonts w:eastAsia="Times New Roman" w:cs="Arial"/>
        </w:rPr>
        <w:t xml:space="preserve">Overall, WSDA did not identify any significant quality issues with biodiesel fuels during this reporting period. WSDA reported that it is </w:t>
      </w:r>
      <w:r w:rsidR="00620331">
        <w:rPr>
          <w:rFonts w:eastAsia="Times New Roman" w:cs="Arial"/>
        </w:rPr>
        <w:t>increasingly hard</w:t>
      </w:r>
      <w:r w:rsidRPr="00BD135D">
        <w:rPr>
          <w:rFonts w:eastAsia="Times New Roman" w:cs="Arial"/>
        </w:rPr>
        <w:t xml:space="preserve"> for its inspectors to find retail stations offering fuels with more than </w:t>
      </w:r>
      <w:r w:rsidR="00620331">
        <w:rPr>
          <w:rFonts w:eastAsia="Times New Roman" w:cs="Arial"/>
        </w:rPr>
        <w:t>5</w:t>
      </w:r>
      <w:r w:rsidR="00292F2C">
        <w:rPr>
          <w:rFonts w:eastAsia="Times New Roman" w:cs="Arial"/>
        </w:rPr>
        <w:t>%</w:t>
      </w:r>
      <w:r w:rsidRPr="00BD135D">
        <w:rPr>
          <w:rFonts w:eastAsia="Times New Roman" w:cs="Arial"/>
        </w:rPr>
        <w:t xml:space="preserve"> biodiesel.</w:t>
      </w:r>
    </w:p>
    <w:p w14:paraId="0002658B" w14:textId="77777777" w:rsidR="007A23C3" w:rsidRPr="00A53E6D" w:rsidRDefault="007A23C3" w:rsidP="00024BD3">
      <w:pPr>
        <w:pStyle w:val="Heading1"/>
        <w:jc w:val="both"/>
        <w:rPr>
          <w:rFonts w:cs="Arial"/>
        </w:rPr>
      </w:pPr>
      <w:r w:rsidRPr="00A53E6D">
        <w:rPr>
          <w:rFonts w:cs="Arial"/>
        </w:rPr>
        <w:t xml:space="preserve">State Contracting </w:t>
      </w:r>
    </w:p>
    <w:p w14:paraId="76FE4794" w14:textId="77777777" w:rsidR="002243BE" w:rsidRDefault="002243BE" w:rsidP="00024BD3">
      <w:pPr>
        <w:jc w:val="both"/>
        <w:rPr>
          <w:rFonts w:cs="Arial"/>
        </w:rPr>
      </w:pPr>
      <w:r>
        <w:rPr>
          <w:rFonts w:cs="Arial"/>
        </w:rPr>
        <w:t>DES has four</w:t>
      </w:r>
      <w:r w:rsidRPr="002243BE">
        <w:rPr>
          <w:rFonts w:cs="Arial"/>
        </w:rPr>
        <w:t xml:space="preserve"> Master Contracts that provide multiple types of fuel products and are utilized by numerous purchasers across the state.</w:t>
      </w:r>
      <w:r w:rsidR="00DA69D9">
        <w:rPr>
          <w:rFonts w:cs="Arial"/>
        </w:rPr>
        <w:t xml:space="preserve"> Contracts must provide agencies with biodiesel that is primarily produced in-state, or from in-state feedstocks.</w:t>
      </w:r>
    </w:p>
    <w:p w14:paraId="140D00EA" w14:textId="77777777" w:rsidR="002243BE" w:rsidRPr="002243BE" w:rsidRDefault="002243BE" w:rsidP="00024BD3">
      <w:pPr>
        <w:jc w:val="both"/>
        <w:rPr>
          <w:rFonts w:cs="Arial"/>
        </w:rPr>
      </w:pPr>
    </w:p>
    <w:p w14:paraId="51E8D3EB" w14:textId="12293D89" w:rsidR="002243BE" w:rsidRPr="002243BE" w:rsidRDefault="002243BE" w:rsidP="00024BD3">
      <w:pPr>
        <w:widowControl/>
        <w:autoSpaceDE/>
        <w:autoSpaceDN/>
        <w:adjustRightInd/>
        <w:spacing w:after="160"/>
        <w:jc w:val="both"/>
        <w:rPr>
          <w:rFonts w:cs="Arial"/>
        </w:rPr>
      </w:pPr>
      <w:r w:rsidRPr="002243BE">
        <w:rPr>
          <w:rFonts w:cs="Arial"/>
          <w:b/>
          <w:bCs/>
        </w:rPr>
        <w:t>Bulk Fuel (#00311)</w:t>
      </w:r>
      <w:r w:rsidRPr="007A5FA1">
        <w:t xml:space="preserve"> </w:t>
      </w:r>
      <w:r w:rsidRPr="002243BE">
        <w:rPr>
          <w:rFonts w:cs="Arial"/>
        </w:rPr>
        <w:t>provides bulk fuel and will-call fuel deliveries for products such as gasoline, diesel and biodiesel</w:t>
      </w:r>
      <w:r w:rsidR="00E215B1">
        <w:rPr>
          <w:rFonts w:cs="Arial"/>
        </w:rPr>
        <w:t xml:space="preserve">. </w:t>
      </w:r>
      <w:r w:rsidRPr="002243BE">
        <w:rPr>
          <w:rFonts w:cs="Arial"/>
        </w:rPr>
        <w:t xml:space="preserve">There are five </w:t>
      </w:r>
      <w:r w:rsidR="00E215B1">
        <w:rPr>
          <w:rFonts w:cs="Arial"/>
        </w:rPr>
        <w:t>c</w:t>
      </w:r>
      <w:r w:rsidRPr="002243BE">
        <w:rPr>
          <w:rFonts w:cs="Arial"/>
        </w:rPr>
        <w:t xml:space="preserve">ontractors </w:t>
      </w:r>
      <w:r w:rsidR="00E215B1">
        <w:rPr>
          <w:rFonts w:cs="Arial"/>
        </w:rPr>
        <w:t>servicing</w:t>
      </w:r>
      <w:r w:rsidRPr="002243BE">
        <w:rPr>
          <w:rFonts w:cs="Arial"/>
        </w:rPr>
        <w:t xml:space="preserve"> eight regions across the state</w:t>
      </w:r>
      <w:r w:rsidR="00E215B1">
        <w:rPr>
          <w:rFonts w:cs="Arial"/>
        </w:rPr>
        <w:t>:</w:t>
      </w:r>
      <w:r w:rsidRPr="002243BE">
        <w:rPr>
          <w:rFonts w:cs="Arial"/>
        </w:rPr>
        <w:t xml:space="preserve"> Associated Petroleum Products (APP), </w:t>
      </w:r>
      <w:r w:rsidR="00E215B1">
        <w:rPr>
          <w:rFonts w:cs="Arial"/>
        </w:rPr>
        <w:t xml:space="preserve">Christensen (dba </w:t>
      </w:r>
      <w:r w:rsidRPr="002243BE">
        <w:rPr>
          <w:rFonts w:cs="Arial"/>
        </w:rPr>
        <w:t>RE Powell</w:t>
      </w:r>
      <w:r w:rsidR="00E215B1">
        <w:rPr>
          <w:rFonts w:cs="Arial"/>
        </w:rPr>
        <w:t>)</w:t>
      </w:r>
      <w:r w:rsidRPr="002243BE">
        <w:rPr>
          <w:rFonts w:cs="Arial"/>
        </w:rPr>
        <w:t xml:space="preserve">, </w:t>
      </w:r>
      <w:proofErr w:type="spellStart"/>
      <w:r w:rsidRPr="002243BE">
        <w:rPr>
          <w:rFonts w:cs="Arial"/>
        </w:rPr>
        <w:t>PetroCard</w:t>
      </w:r>
      <w:proofErr w:type="spellEnd"/>
      <w:r w:rsidRPr="002243BE">
        <w:rPr>
          <w:rFonts w:cs="Arial"/>
        </w:rPr>
        <w:t>, Wilcox &amp; Flagel</w:t>
      </w:r>
      <w:r w:rsidR="000C3227">
        <w:rPr>
          <w:rFonts w:cs="Arial"/>
        </w:rPr>
        <w:t>,</w:t>
      </w:r>
      <w:r w:rsidRPr="002243BE">
        <w:rPr>
          <w:rFonts w:cs="Arial"/>
        </w:rPr>
        <w:t xml:space="preserve"> and Coleman Oil.</w:t>
      </w:r>
      <w:r w:rsidR="00E215B1">
        <w:rPr>
          <w:rFonts w:cs="Arial"/>
        </w:rPr>
        <w:t xml:space="preserve"> </w:t>
      </w:r>
      <w:r w:rsidRPr="002243BE">
        <w:rPr>
          <w:rFonts w:cs="Arial"/>
        </w:rPr>
        <w:t>Th</w:t>
      </w:r>
      <w:r w:rsidR="008A0813">
        <w:rPr>
          <w:rFonts w:cs="Arial"/>
        </w:rPr>
        <w:t>is contract is currently being rebid, as the</w:t>
      </w:r>
      <w:r w:rsidRPr="002243BE">
        <w:rPr>
          <w:rFonts w:cs="Arial"/>
        </w:rPr>
        <w:t xml:space="preserve"> current term </w:t>
      </w:r>
      <w:r w:rsidR="00620331" w:rsidRPr="002243BE">
        <w:rPr>
          <w:rFonts w:cs="Arial"/>
        </w:rPr>
        <w:t>end</w:t>
      </w:r>
      <w:r w:rsidR="000659E9">
        <w:rPr>
          <w:rFonts w:cs="Arial"/>
        </w:rPr>
        <w:t>s on December 31</w:t>
      </w:r>
      <w:r w:rsidRPr="002243BE">
        <w:rPr>
          <w:rFonts w:cs="Arial"/>
        </w:rPr>
        <w:t>, 2021.</w:t>
      </w:r>
    </w:p>
    <w:p w14:paraId="3FD393B6" w14:textId="77777777" w:rsidR="002243BE" w:rsidRPr="00EE46DC" w:rsidRDefault="002243BE" w:rsidP="00024BD3">
      <w:pPr>
        <w:pStyle w:val="Bullet"/>
        <w:adjustRightInd/>
        <w:jc w:val="both"/>
        <w:rPr>
          <w:rFonts w:cs="Arial"/>
        </w:rPr>
      </w:pPr>
      <w:r w:rsidRPr="002243BE">
        <w:rPr>
          <w:rFonts w:cs="Arial"/>
          <w:b/>
          <w:bCs/>
        </w:rPr>
        <w:t xml:space="preserve">Marine Refueling Services (#05718) </w:t>
      </w:r>
      <w:r w:rsidRPr="002243BE">
        <w:rPr>
          <w:rFonts w:cs="Arial"/>
          <w:bCs/>
        </w:rPr>
        <w:t xml:space="preserve">provides diesel and </w:t>
      </w:r>
      <w:r w:rsidR="00E215B1">
        <w:rPr>
          <w:rFonts w:cs="Arial"/>
          <w:bCs/>
        </w:rPr>
        <w:t>biodiesel</w:t>
      </w:r>
      <w:r w:rsidRPr="002243BE">
        <w:rPr>
          <w:rFonts w:cs="Arial"/>
          <w:bCs/>
        </w:rPr>
        <w:t xml:space="preserve"> blends to </w:t>
      </w:r>
      <w:r w:rsidR="00F86D8A">
        <w:rPr>
          <w:rFonts w:cs="Arial"/>
          <w:bCs/>
        </w:rPr>
        <w:t>WSF</w:t>
      </w:r>
      <w:r w:rsidR="00E215B1">
        <w:rPr>
          <w:rFonts w:cs="Arial"/>
          <w:bCs/>
        </w:rPr>
        <w:t xml:space="preserve"> </w:t>
      </w:r>
      <w:r w:rsidRPr="002243BE">
        <w:rPr>
          <w:rFonts w:cs="Arial"/>
          <w:bCs/>
        </w:rPr>
        <w:t xml:space="preserve">via </w:t>
      </w:r>
      <w:proofErr w:type="spellStart"/>
      <w:r w:rsidR="00E215B1">
        <w:rPr>
          <w:rFonts w:cs="Arial"/>
          <w:bCs/>
        </w:rPr>
        <w:t>p</w:t>
      </w:r>
      <w:r w:rsidRPr="002243BE">
        <w:rPr>
          <w:rFonts w:cs="Arial"/>
          <w:bCs/>
        </w:rPr>
        <w:t>ier</w:t>
      </w:r>
      <w:proofErr w:type="spellEnd"/>
      <w:r w:rsidRPr="002243BE">
        <w:rPr>
          <w:rFonts w:cs="Arial"/>
          <w:bCs/>
        </w:rPr>
        <w:t>-to-</w:t>
      </w:r>
      <w:r w:rsidR="00E215B1" w:rsidRPr="00DA69D9">
        <w:rPr>
          <w:rFonts w:cs="Arial"/>
          <w:bCs/>
        </w:rPr>
        <w:t>v</w:t>
      </w:r>
      <w:r w:rsidRPr="00DA69D9">
        <w:rPr>
          <w:rFonts w:cs="Arial"/>
          <w:bCs/>
        </w:rPr>
        <w:t xml:space="preserve">essel, </w:t>
      </w:r>
      <w:r w:rsidR="00E215B1" w:rsidRPr="00DA69D9">
        <w:rPr>
          <w:rFonts w:cs="Arial"/>
          <w:bCs/>
        </w:rPr>
        <w:t>t</w:t>
      </w:r>
      <w:r w:rsidRPr="00DA69D9">
        <w:rPr>
          <w:rFonts w:cs="Arial"/>
          <w:bCs/>
        </w:rPr>
        <w:t>ruck-to-</w:t>
      </w:r>
      <w:r w:rsidR="00E215B1" w:rsidRPr="00DA69D9">
        <w:rPr>
          <w:rFonts w:cs="Arial"/>
          <w:bCs/>
        </w:rPr>
        <w:t>v</w:t>
      </w:r>
      <w:r w:rsidRPr="00DA69D9">
        <w:rPr>
          <w:rFonts w:cs="Arial"/>
          <w:bCs/>
        </w:rPr>
        <w:t xml:space="preserve">essel and </w:t>
      </w:r>
      <w:r w:rsidR="00E215B1" w:rsidRPr="00DA69D9">
        <w:rPr>
          <w:rFonts w:cs="Arial"/>
          <w:bCs/>
        </w:rPr>
        <w:t>v</w:t>
      </w:r>
      <w:r w:rsidRPr="00DA69D9">
        <w:rPr>
          <w:rFonts w:cs="Arial"/>
          <w:bCs/>
        </w:rPr>
        <w:t>essel-to-</w:t>
      </w:r>
      <w:r w:rsidR="00E215B1" w:rsidRPr="00DA69D9">
        <w:rPr>
          <w:rFonts w:cs="Arial"/>
          <w:bCs/>
        </w:rPr>
        <w:t>v</w:t>
      </w:r>
      <w:r w:rsidRPr="00DA69D9">
        <w:rPr>
          <w:rFonts w:cs="Arial"/>
          <w:bCs/>
        </w:rPr>
        <w:t>essel</w:t>
      </w:r>
      <w:r w:rsidR="00E215B1" w:rsidRPr="00DA69D9">
        <w:rPr>
          <w:rFonts w:cs="Arial"/>
          <w:bCs/>
        </w:rPr>
        <w:t xml:space="preserve"> transfers</w:t>
      </w:r>
      <w:r w:rsidR="00DA69D9">
        <w:rPr>
          <w:rFonts w:cs="Arial"/>
          <w:bCs/>
        </w:rPr>
        <w:t xml:space="preserve"> at multiple locations</w:t>
      </w:r>
      <w:r w:rsidR="00E215B1" w:rsidRPr="00DA69D9">
        <w:rPr>
          <w:rFonts w:cs="Arial"/>
          <w:bCs/>
        </w:rPr>
        <w:t>.</w:t>
      </w:r>
      <w:r w:rsidR="00DA69D9">
        <w:rPr>
          <w:rFonts w:cs="Arial"/>
          <w:bCs/>
        </w:rPr>
        <w:t xml:space="preserve"> </w:t>
      </w:r>
      <w:r w:rsidRPr="00EE46DC">
        <w:rPr>
          <w:rFonts w:cs="Arial"/>
        </w:rPr>
        <w:t>The contractor is Maxum Petroleum</w:t>
      </w:r>
      <w:r w:rsidR="00DA69D9" w:rsidRPr="00EE46DC">
        <w:rPr>
          <w:rFonts w:cs="Arial"/>
        </w:rPr>
        <w:t xml:space="preserve">. </w:t>
      </w:r>
      <w:r w:rsidRPr="00EE46DC">
        <w:rPr>
          <w:rFonts w:cs="Arial"/>
        </w:rPr>
        <w:t>The current term ends December 15, 202</w:t>
      </w:r>
      <w:r w:rsidR="003327BE">
        <w:rPr>
          <w:rFonts w:cs="Arial"/>
        </w:rPr>
        <w:t>1</w:t>
      </w:r>
      <w:r w:rsidRPr="00EE46DC">
        <w:rPr>
          <w:rFonts w:cs="Arial"/>
        </w:rPr>
        <w:t>, with automatic one-year extensions available thr</w:t>
      </w:r>
      <w:r w:rsidR="00DA69D9" w:rsidRPr="00EE46DC">
        <w:rPr>
          <w:rFonts w:cs="Arial"/>
        </w:rPr>
        <w:t>o</w:t>
      </w:r>
      <w:r w:rsidRPr="00EE46DC">
        <w:rPr>
          <w:rFonts w:cs="Arial"/>
        </w:rPr>
        <w:t>ugh 2028.</w:t>
      </w:r>
    </w:p>
    <w:p w14:paraId="32D67BDE" w14:textId="77777777" w:rsidR="002243BE" w:rsidRPr="002243BE" w:rsidRDefault="002243BE" w:rsidP="00024BD3">
      <w:pPr>
        <w:widowControl/>
        <w:autoSpaceDE/>
        <w:autoSpaceDN/>
        <w:adjustRightInd/>
        <w:spacing w:after="160" w:line="259" w:lineRule="auto"/>
        <w:jc w:val="both"/>
        <w:rPr>
          <w:rFonts w:cs="Arial"/>
        </w:rPr>
      </w:pPr>
      <w:r w:rsidRPr="002243BE">
        <w:rPr>
          <w:rFonts w:cs="Arial"/>
          <w:b/>
          <w:bCs/>
        </w:rPr>
        <w:t>Over the Water Marine Refueling (Keller Ferry) (#07613)</w:t>
      </w:r>
      <w:r w:rsidRPr="007A5FA1">
        <w:t xml:space="preserve"> </w:t>
      </w:r>
      <w:r w:rsidRPr="002243BE">
        <w:rPr>
          <w:rFonts w:cs="Arial"/>
        </w:rPr>
        <w:t>provides diesel and biodiesel blend</w:t>
      </w:r>
      <w:r w:rsidR="00DA69D9">
        <w:rPr>
          <w:rFonts w:cs="Arial"/>
        </w:rPr>
        <w:t>s</w:t>
      </w:r>
      <w:r w:rsidRPr="002243BE">
        <w:rPr>
          <w:rFonts w:cs="Arial"/>
        </w:rPr>
        <w:t xml:space="preserve"> to </w:t>
      </w:r>
      <w:r w:rsidR="00F86D8A">
        <w:rPr>
          <w:rFonts w:cs="Arial"/>
        </w:rPr>
        <w:t>WSF</w:t>
      </w:r>
      <w:r w:rsidRPr="002243BE">
        <w:rPr>
          <w:rFonts w:cs="Arial"/>
        </w:rPr>
        <w:t xml:space="preserve"> for the Keller Ferry</w:t>
      </w:r>
      <w:r w:rsidR="00DA69D9">
        <w:rPr>
          <w:rFonts w:cs="Arial"/>
        </w:rPr>
        <w:t xml:space="preserve"> on the Columbia River between Ferry and Clark counties. </w:t>
      </w:r>
      <w:r w:rsidRPr="002243BE">
        <w:rPr>
          <w:rFonts w:cs="Arial"/>
        </w:rPr>
        <w:t>The contractor is Connell Oil</w:t>
      </w:r>
      <w:r w:rsidR="00DA69D9">
        <w:rPr>
          <w:rFonts w:cs="Arial"/>
        </w:rPr>
        <w:t>. T</w:t>
      </w:r>
      <w:r w:rsidRPr="002243BE">
        <w:rPr>
          <w:rFonts w:cs="Arial"/>
        </w:rPr>
        <w:t>he current term ends on January 13, 2022, with extensions available through 2024</w:t>
      </w:r>
      <w:r w:rsidR="00DA69D9">
        <w:rPr>
          <w:rFonts w:cs="Arial"/>
        </w:rPr>
        <w:t>.</w:t>
      </w:r>
    </w:p>
    <w:p w14:paraId="695AC9D0" w14:textId="77777777" w:rsidR="00103591" w:rsidRDefault="005C557A" w:rsidP="00F054A3">
      <w:pPr>
        <w:pStyle w:val="Heading1"/>
        <w:jc w:val="both"/>
        <w:rPr>
          <w:rFonts w:cs="Arial"/>
        </w:rPr>
      </w:pPr>
      <w:r w:rsidRPr="00EE46DC">
        <w:rPr>
          <w:rFonts w:cs="Arial"/>
        </w:rPr>
        <w:lastRenderedPageBreak/>
        <w:t>Recommendations</w:t>
      </w:r>
    </w:p>
    <w:p w14:paraId="6EC7953B" w14:textId="77777777" w:rsidR="008A0813" w:rsidRPr="00F054A3" w:rsidRDefault="008A0813" w:rsidP="00024BD3">
      <w:pPr>
        <w:jc w:val="both"/>
        <w:rPr>
          <w:rFonts w:cs="Arial"/>
          <w:b/>
          <w:sz w:val="16"/>
        </w:rPr>
      </w:pPr>
    </w:p>
    <w:p w14:paraId="3D9DE860" w14:textId="05C649DE" w:rsidR="00103591" w:rsidRDefault="002600E7" w:rsidP="00F054A3">
      <w:pPr>
        <w:spacing w:after="240" w:line="276" w:lineRule="auto"/>
        <w:jc w:val="both"/>
        <w:rPr>
          <w:rFonts w:cs="Arial"/>
          <w:b/>
        </w:rPr>
      </w:pPr>
      <w:r>
        <w:rPr>
          <w:rFonts w:cs="Arial"/>
          <w:b/>
        </w:rPr>
        <w:t xml:space="preserve">Department of </w:t>
      </w:r>
      <w:r w:rsidRPr="002600E7">
        <w:rPr>
          <w:rFonts w:cs="Arial"/>
          <w:b/>
        </w:rPr>
        <w:t>Enterprise Services</w:t>
      </w:r>
    </w:p>
    <w:p w14:paraId="230C6DD7" w14:textId="0939E8EE" w:rsidR="00290FD3" w:rsidRPr="00290FD3" w:rsidRDefault="00290FD3" w:rsidP="00024BD3">
      <w:pPr>
        <w:spacing w:after="200"/>
        <w:jc w:val="both"/>
        <w:rPr>
          <w:rFonts w:cs="Arial"/>
          <w:i/>
        </w:rPr>
      </w:pPr>
      <w:r w:rsidRPr="00290FD3">
        <w:rPr>
          <w:rFonts w:cs="Arial"/>
        </w:rPr>
        <w:t>The Department of Enterprise Services has ensured the below recommendations are included in the new Fuel Contract that will be effective January 1, 2022.</w:t>
      </w:r>
    </w:p>
    <w:p w14:paraId="6DE88D1A" w14:textId="77777777" w:rsidR="00103591" w:rsidRDefault="00103591" w:rsidP="004C1F40">
      <w:pPr>
        <w:pStyle w:val="ListParagraph"/>
        <w:spacing w:before="120" w:after="0"/>
        <w:jc w:val="both"/>
        <w:rPr>
          <w:rFonts w:cs="Arial"/>
        </w:rPr>
      </w:pPr>
      <w:r>
        <w:rPr>
          <w:rFonts w:cs="Arial"/>
        </w:rPr>
        <w:t>Revise and/or rebid contracts as needed</w:t>
      </w:r>
      <w:r w:rsidRPr="00A53E6D">
        <w:rPr>
          <w:rFonts w:cs="Arial"/>
        </w:rPr>
        <w:t xml:space="preserve"> to provide competitively priced biodiesel and other alternative fuel products</w:t>
      </w:r>
      <w:r>
        <w:rPr>
          <w:rFonts w:cs="Arial"/>
        </w:rPr>
        <w:t xml:space="preserve">, </w:t>
      </w:r>
      <w:r w:rsidR="004E5EC5">
        <w:rPr>
          <w:rFonts w:cs="Arial"/>
        </w:rPr>
        <w:t>such as</w:t>
      </w:r>
      <w:r>
        <w:rPr>
          <w:rFonts w:cs="Arial"/>
        </w:rPr>
        <w:t xml:space="preserve"> renewable diesel.</w:t>
      </w:r>
    </w:p>
    <w:p w14:paraId="0D7A23AC" w14:textId="4C8237AB" w:rsidR="00B35032" w:rsidRDefault="004E5EC5" w:rsidP="004C1F40">
      <w:pPr>
        <w:pStyle w:val="ListParagraph"/>
        <w:spacing w:before="120" w:after="0"/>
        <w:jc w:val="both"/>
        <w:rPr>
          <w:rFonts w:cs="Arial"/>
        </w:rPr>
      </w:pPr>
      <w:r>
        <w:rPr>
          <w:rFonts w:cs="Arial"/>
        </w:rPr>
        <w:t>Establish, and r</w:t>
      </w:r>
      <w:r w:rsidR="00245BF5">
        <w:rPr>
          <w:rFonts w:cs="Arial"/>
        </w:rPr>
        <w:t>equire contractors to use standardized</w:t>
      </w:r>
      <w:r w:rsidR="00E11E1E">
        <w:rPr>
          <w:rFonts w:cs="Arial"/>
        </w:rPr>
        <w:t xml:space="preserve"> nomenclature to reduce co</w:t>
      </w:r>
      <w:r w:rsidR="00245BF5">
        <w:rPr>
          <w:rFonts w:cs="Arial"/>
        </w:rPr>
        <w:t xml:space="preserve">nfusion and errors in reporting, including types and uses of fuels (e.g., vehicles, facilities), customer names, </w:t>
      </w:r>
      <w:r w:rsidR="00245BF5" w:rsidRPr="00245BF5">
        <w:rPr>
          <w:rFonts w:cs="Arial"/>
          <w:color w:val="000000" w:themeColor="text1"/>
        </w:rPr>
        <w:t xml:space="preserve">and </w:t>
      </w:r>
      <w:r w:rsidR="004E3E89" w:rsidRPr="00245BF5">
        <w:rPr>
          <w:rFonts w:cs="Arial"/>
          <w:color w:val="000000" w:themeColor="text1"/>
        </w:rPr>
        <w:t>deliver</w:t>
      </w:r>
      <w:r w:rsidR="00245BF5" w:rsidRPr="00245BF5">
        <w:rPr>
          <w:rFonts w:cs="Arial"/>
          <w:color w:val="000000" w:themeColor="text1"/>
        </w:rPr>
        <w:t>y locations.</w:t>
      </w:r>
    </w:p>
    <w:p w14:paraId="21B72F77" w14:textId="16F964F9" w:rsidR="00B35032" w:rsidRDefault="00290FD3" w:rsidP="004C1F40">
      <w:pPr>
        <w:pStyle w:val="ListParagraph"/>
        <w:spacing w:before="120" w:after="0"/>
        <w:jc w:val="both"/>
        <w:rPr>
          <w:rFonts w:cs="Arial"/>
        </w:rPr>
      </w:pPr>
      <w:r>
        <w:rPr>
          <w:rFonts w:cs="Arial"/>
        </w:rPr>
        <w:t>Ensure there is no price differential between Diesel, B5, and B10 to incentivize purchasers to purchase B10 as their default.</w:t>
      </w:r>
    </w:p>
    <w:p w14:paraId="0BA4A1A1" w14:textId="77777777" w:rsidR="00103591" w:rsidRDefault="00103591" w:rsidP="004C1F40">
      <w:pPr>
        <w:pStyle w:val="ListParagraph"/>
        <w:spacing w:before="120" w:after="0"/>
        <w:ind w:left="821"/>
        <w:jc w:val="both"/>
        <w:rPr>
          <w:rFonts w:cs="Arial"/>
        </w:rPr>
      </w:pPr>
      <w:r>
        <w:rPr>
          <w:rFonts w:cs="Arial"/>
        </w:rPr>
        <w:t>Ensure fuel purchasers and contractors understand the distinction between co-refined diesel and renewable diesel as agencies are required to monitor their greenhouse gas emissions and need accurate carbon accounting.</w:t>
      </w:r>
    </w:p>
    <w:p w14:paraId="45D95635" w14:textId="77777777" w:rsidR="00970B0C" w:rsidRDefault="00970B0C" w:rsidP="00024BD3">
      <w:pPr>
        <w:jc w:val="both"/>
      </w:pPr>
    </w:p>
    <w:p w14:paraId="3DCD1C5A" w14:textId="77777777" w:rsidR="00103591" w:rsidRPr="00443E9A" w:rsidRDefault="00103591" w:rsidP="00F054A3">
      <w:pPr>
        <w:spacing w:after="240" w:line="276" w:lineRule="auto"/>
        <w:jc w:val="both"/>
        <w:rPr>
          <w:rFonts w:cs="Arial"/>
          <w:b/>
        </w:rPr>
      </w:pPr>
      <w:r w:rsidRPr="00443E9A">
        <w:rPr>
          <w:rFonts w:cs="Arial"/>
          <w:b/>
        </w:rPr>
        <w:t>State Ferries</w:t>
      </w:r>
      <w:r w:rsidR="00F86D8A">
        <w:rPr>
          <w:rFonts w:cs="Arial"/>
          <w:b/>
        </w:rPr>
        <w:t xml:space="preserve"> </w:t>
      </w:r>
    </w:p>
    <w:p w14:paraId="00C56E28" w14:textId="77777777" w:rsidR="00B72997" w:rsidRPr="006656DE" w:rsidRDefault="0054178A" w:rsidP="00024BD3">
      <w:pPr>
        <w:pStyle w:val="ListParagraph"/>
        <w:spacing w:before="120" w:after="0"/>
        <w:ind w:left="821"/>
        <w:jc w:val="both"/>
        <w:rPr>
          <w:rFonts w:ascii="Times New Roman" w:hAnsi="Times New Roman"/>
        </w:rPr>
      </w:pPr>
      <w:r w:rsidRPr="00B87998">
        <w:rPr>
          <w:rFonts w:cs="Arial"/>
        </w:rPr>
        <w:t>Continue to a</w:t>
      </w:r>
      <w:r w:rsidR="0045060A" w:rsidRPr="00B87998">
        <w:rPr>
          <w:rFonts w:cs="Arial"/>
        </w:rPr>
        <w:t xml:space="preserve">ddress </w:t>
      </w:r>
      <w:r w:rsidR="003156CD" w:rsidRPr="00BF6B3A">
        <w:rPr>
          <w:rFonts w:cs="Arial"/>
        </w:rPr>
        <w:t xml:space="preserve">any </w:t>
      </w:r>
      <w:r w:rsidR="0045060A" w:rsidRPr="00DE50FB">
        <w:rPr>
          <w:rFonts w:cs="Arial"/>
        </w:rPr>
        <w:t>gaps in delivery of biodie</w:t>
      </w:r>
      <w:r w:rsidR="0045060A" w:rsidRPr="00B44B30">
        <w:rPr>
          <w:rFonts w:cs="Arial"/>
        </w:rPr>
        <w:t>sel blends by ensuring fuel contractors fulfill the terms of their contracts.</w:t>
      </w:r>
      <w:r w:rsidR="00D06090" w:rsidRPr="00B44B30">
        <w:rPr>
          <w:rFonts w:cs="Arial"/>
        </w:rPr>
        <w:t xml:space="preserve"> </w:t>
      </w:r>
    </w:p>
    <w:p w14:paraId="311FB69F" w14:textId="77777777" w:rsidR="00970B0C" w:rsidRDefault="00970B0C" w:rsidP="00024BD3">
      <w:pPr>
        <w:jc w:val="both"/>
      </w:pPr>
    </w:p>
    <w:p w14:paraId="28ADAD2F" w14:textId="77777777" w:rsidR="00103591" w:rsidRPr="002600E7" w:rsidRDefault="002600E7" w:rsidP="00F054A3">
      <w:pPr>
        <w:spacing w:after="200" w:line="276" w:lineRule="auto"/>
        <w:jc w:val="both"/>
        <w:rPr>
          <w:rFonts w:cs="Arial"/>
          <w:b/>
        </w:rPr>
      </w:pPr>
      <w:bookmarkStart w:id="1" w:name="_Hlk59183063"/>
      <w:r>
        <w:rPr>
          <w:rFonts w:cs="Arial"/>
          <w:b/>
        </w:rPr>
        <w:t xml:space="preserve">Department of </w:t>
      </w:r>
      <w:r w:rsidRPr="002600E7">
        <w:rPr>
          <w:rFonts w:cs="Arial"/>
          <w:b/>
        </w:rPr>
        <w:t>Transportation</w:t>
      </w:r>
    </w:p>
    <w:p w14:paraId="29D9A4A0" w14:textId="77777777" w:rsidR="003156CD" w:rsidRPr="00EE46DC" w:rsidRDefault="003156CD" w:rsidP="00024BD3">
      <w:pPr>
        <w:pStyle w:val="ListParagraph"/>
        <w:spacing w:before="120" w:after="0"/>
        <w:jc w:val="both"/>
      </w:pPr>
      <w:r>
        <w:rPr>
          <w:rFonts w:cs="Arial"/>
        </w:rPr>
        <w:t xml:space="preserve">Continue to address any gaps in delivery of biodiesel blends by ensuring fuel contractors fulfill the terms of their contracts. </w:t>
      </w:r>
    </w:p>
    <w:p w14:paraId="1D8D6754" w14:textId="77777777" w:rsidR="004C0685" w:rsidRPr="00BA7BFF" w:rsidRDefault="004C0685" w:rsidP="00024BD3">
      <w:pPr>
        <w:pStyle w:val="ListParagraph"/>
        <w:spacing w:before="120" w:after="0"/>
        <w:jc w:val="both"/>
      </w:pPr>
      <w:r>
        <w:rPr>
          <w:rFonts w:cs="Arial"/>
        </w:rPr>
        <w:t>Increase biodiesel blend levels in certain WSDOT tanks</w:t>
      </w:r>
      <w:r w:rsidR="00103591">
        <w:rPr>
          <w:rFonts w:cs="Arial"/>
        </w:rPr>
        <w:t xml:space="preserve"> that received less biodiesel </w:t>
      </w:r>
      <w:r w:rsidR="003156CD">
        <w:rPr>
          <w:rFonts w:cs="Arial"/>
        </w:rPr>
        <w:t xml:space="preserve">in </w:t>
      </w:r>
      <w:r w:rsidR="008F5048">
        <w:rPr>
          <w:rFonts w:cs="Arial"/>
        </w:rPr>
        <w:t xml:space="preserve">2020 </w:t>
      </w:r>
      <w:r w:rsidR="00103591">
        <w:rPr>
          <w:rFonts w:cs="Arial"/>
        </w:rPr>
        <w:t>than similar tanks in the vicinity</w:t>
      </w:r>
      <w:r>
        <w:rPr>
          <w:rFonts w:cs="Arial"/>
        </w:rPr>
        <w:t xml:space="preserve">, especially those in areas with moderate temperatures that </w:t>
      </w:r>
      <w:r w:rsidR="003156CD">
        <w:rPr>
          <w:rFonts w:cs="Arial"/>
        </w:rPr>
        <w:t>handle</w:t>
      </w:r>
      <w:r>
        <w:rPr>
          <w:rFonts w:cs="Arial"/>
        </w:rPr>
        <w:t xml:space="preserve"> relatively high volumes of fuel. These include </w:t>
      </w:r>
      <w:r w:rsidR="00103591">
        <w:rPr>
          <w:rFonts w:cs="Arial"/>
        </w:rPr>
        <w:t xml:space="preserve">Bellingham, Mount Vernon, Monroe, Arlington and </w:t>
      </w:r>
      <w:proofErr w:type="spellStart"/>
      <w:r w:rsidR="00103591">
        <w:rPr>
          <w:rFonts w:cs="Arial"/>
        </w:rPr>
        <w:t>Oakesdale</w:t>
      </w:r>
      <w:proofErr w:type="spellEnd"/>
      <w:r w:rsidR="00103591">
        <w:rPr>
          <w:rFonts w:cs="Arial"/>
        </w:rPr>
        <w:t>.</w:t>
      </w:r>
    </w:p>
    <w:p w14:paraId="54C1D180" w14:textId="77777777" w:rsidR="00103591" w:rsidRDefault="00103591" w:rsidP="00024BD3">
      <w:pPr>
        <w:pStyle w:val="ListParagraph"/>
        <w:spacing w:before="120" w:after="0"/>
        <w:ind w:left="821"/>
        <w:jc w:val="both"/>
        <w:rPr>
          <w:rFonts w:cs="Arial"/>
        </w:rPr>
      </w:pPr>
      <w:r>
        <w:rPr>
          <w:rFonts w:cs="Arial"/>
        </w:rPr>
        <w:t xml:space="preserve">Seek legislative appropriations to replace key older WSDOT fuel tanks so those locations are able to </w:t>
      </w:r>
      <w:r w:rsidR="00E11E1E">
        <w:rPr>
          <w:rFonts w:cs="Arial"/>
        </w:rPr>
        <w:t>store</w:t>
      </w:r>
      <w:r>
        <w:rPr>
          <w:rFonts w:cs="Arial"/>
        </w:rPr>
        <w:t xml:space="preserve"> higher levels of biodiesel blends.</w:t>
      </w:r>
    </w:p>
    <w:p w14:paraId="2A8F04BD" w14:textId="77777777" w:rsidR="00E11E1E" w:rsidRDefault="00E11E1E" w:rsidP="00024BD3">
      <w:pPr>
        <w:pStyle w:val="ListParagraph"/>
        <w:spacing w:before="120" w:after="0"/>
        <w:ind w:left="821"/>
        <w:jc w:val="both"/>
        <w:rPr>
          <w:rFonts w:cs="Arial"/>
        </w:rPr>
      </w:pPr>
      <w:r>
        <w:rPr>
          <w:rFonts w:cs="Arial"/>
        </w:rPr>
        <w:t xml:space="preserve">Use biodiesel blends to meet facility heating needs at locations with consistent fuel turnover, including </w:t>
      </w:r>
      <w:r w:rsidR="00960438">
        <w:rPr>
          <w:rFonts w:cs="Arial"/>
        </w:rPr>
        <w:t>Port Angeles and Issaquah. Blends up to B40 are safe for use in diesel-fueled boilers.</w:t>
      </w:r>
    </w:p>
    <w:bookmarkEnd w:id="1"/>
    <w:p w14:paraId="4BB591BD" w14:textId="77777777" w:rsidR="002C4E32" w:rsidRDefault="002C4E32" w:rsidP="00024BD3">
      <w:pPr>
        <w:jc w:val="both"/>
        <w:rPr>
          <w:rFonts w:cs="Arial"/>
          <w:b/>
        </w:rPr>
      </w:pPr>
    </w:p>
    <w:p w14:paraId="0FA4D9A7" w14:textId="77777777" w:rsidR="00103591" w:rsidRPr="002600E7" w:rsidRDefault="00103591" w:rsidP="00F054A3">
      <w:pPr>
        <w:spacing w:after="240" w:line="276" w:lineRule="auto"/>
        <w:jc w:val="both"/>
        <w:rPr>
          <w:rFonts w:cs="Arial"/>
          <w:b/>
        </w:rPr>
      </w:pPr>
      <w:r w:rsidRPr="002600E7">
        <w:rPr>
          <w:rFonts w:cs="Arial"/>
          <w:b/>
        </w:rPr>
        <w:t>Other Agencies</w:t>
      </w:r>
    </w:p>
    <w:p w14:paraId="423E94EA" w14:textId="77777777" w:rsidR="00421672" w:rsidRPr="00EE46DC" w:rsidRDefault="00421672" w:rsidP="00024BD3">
      <w:pPr>
        <w:pStyle w:val="ListParagraph"/>
        <w:spacing w:before="120" w:after="0"/>
        <w:ind w:left="821"/>
        <w:jc w:val="both"/>
        <w:rPr>
          <w:rFonts w:cs="Arial"/>
        </w:rPr>
      </w:pPr>
      <w:r w:rsidRPr="00EE46DC">
        <w:rPr>
          <w:rFonts w:cs="Arial"/>
        </w:rPr>
        <w:t xml:space="preserve">Work through the Alternative Fuels &amp; Vehicles Technical Advisory Group jointly administered by Commerce and </w:t>
      </w:r>
      <w:r w:rsidR="00960438">
        <w:rPr>
          <w:rFonts w:cs="Arial"/>
        </w:rPr>
        <w:t>WSU’s</w:t>
      </w:r>
      <w:r w:rsidRPr="00EE46DC">
        <w:rPr>
          <w:rFonts w:cs="Arial"/>
        </w:rPr>
        <w:t xml:space="preserve"> Energy Program to substantially increase biodiesel use by universities and agencies other than WSDOT and WSF. Specific opportunities </w:t>
      </w:r>
      <w:r w:rsidR="00792451">
        <w:rPr>
          <w:rFonts w:cs="Arial"/>
        </w:rPr>
        <w:t>are listed below.</w:t>
      </w:r>
    </w:p>
    <w:p w14:paraId="75E3A627" w14:textId="77777777" w:rsidR="00694E5A" w:rsidRDefault="00694E5A" w:rsidP="00024BD3">
      <w:pPr>
        <w:pStyle w:val="ListParagraph"/>
        <w:spacing w:before="120" w:after="0"/>
        <w:ind w:left="821"/>
        <w:jc w:val="both"/>
        <w:rPr>
          <w:rFonts w:cs="Arial"/>
        </w:rPr>
      </w:pPr>
      <w:r>
        <w:rPr>
          <w:rFonts w:cs="Arial"/>
        </w:rPr>
        <w:lastRenderedPageBreak/>
        <w:t>UW and WSU purchased substantial volumes of diesel for campus power plant operations in Seattle and Pullman, respectively. Both could readily increase their use of biodiesel blends.</w:t>
      </w:r>
    </w:p>
    <w:p w14:paraId="396A1B82" w14:textId="623F6A45" w:rsidR="00960438" w:rsidRDefault="00421672" w:rsidP="00024BD3">
      <w:pPr>
        <w:pStyle w:val="ListParagraph"/>
        <w:spacing w:before="120" w:after="0"/>
        <w:ind w:left="821"/>
        <w:jc w:val="both"/>
        <w:rPr>
          <w:rFonts w:cs="Arial"/>
        </w:rPr>
      </w:pPr>
      <w:r w:rsidRPr="00EE46DC">
        <w:rPr>
          <w:rFonts w:cs="Arial"/>
        </w:rPr>
        <w:t xml:space="preserve">Corrections </w:t>
      </w:r>
      <w:r w:rsidR="003156CD" w:rsidRPr="00EE46DC">
        <w:rPr>
          <w:rFonts w:cs="Arial"/>
        </w:rPr>
        <w:t xml:space="preserve">purchased diesel for </w:t>
      </w:r>
      <w:r w:rsidR="00073316">
        <w:rPr>
          <w:rFonts w:cs="Arial"/>
        </w:rPr>
        <w:t>10</w:t>
      </w:r>
      <w:r w:rsidR="00073316" w:rsidRPr="00EE46DC">
        <w:rPr>
          <w:rFonts w:cs="Arial"/>
        </w:rPr>
        <w:t xml:space="preserve"> </w:t>
      </w:r>
      <w:r w:rsidR="003156CD" w:rsidRPr="00EE46DC">
        <w:rPr>
          <w:rFonts w:cs="Arial"/>
        </w:rPr>
        <w:t>facilities, but biodiesel blends at only two: Cedar Creek (</w:t>
      </w:r>
      <w:r w:rsidR="003030B6">
        <w:rPr>
          <w:rFonts w:cs="Arial"/>
        </w:rPr>
        <w:t>25</w:t>
      </w:r>
      <w:r w:rsidR="00292F2C">
        <w:rPr>
          <w:rFonts w:cs="Arial"/>
        </w:rPr>
        <w:t>%</w:t>
      </w:r>
      <w:r w:rsidR="003156CD" w:rsidRPr="00EE46DC">
        <w:rPr>
          <w:rFonts w:cs="Arial"/>
        </w:rPr>
        <w:t xml:space="preserve">) and </w:t>
      </w:r>
      <w:r w:rsidR="00B106D4" w:rsidRPr="00EE46DC">
        <w:rPr>
          <w:rFonts w:cs="Arial"/>
        </w:rPr>
        <w:t>the Washington Corrections Center in Shelton</w:t>
      </w:r>
      <w:r w:rsidR="003156CD" w:rsidRPr="00EE46DC">
        <w:rPr>
          <w:rFonts w:cs="Arial"/>
        </w:rPr>
        <w:t xml:space="preserve"> (</w:t>
      </w:r>
      <w:r w:rsidR="003A696A">
        <w:rPr>
          <w:rFonts w:cs="Arial"/>
        </w:rPr>
        <w:t>5</w:t>
      </w:r>
      <w:r w:rsidR="00292F2C">
        <w:rPr>
          <w:rFonts w:cs="Arial"/>
        </w:rPr>
        <w:t>%</w:t>
      </w:r>
      <w:r w:rsidR="003156CD" w:rsidRPr="00EE46DC">
        <w:rPr>
          <w:rFonts w:cs="Arial"/>
        </w:rPr>
        <w:t xml:space="preserve">). In addition to substantially increasing the biodiesel blend level at Shelton, other </w:t>
      </w:r>
      <w:r w:rsidR="00B106D4" w:rsidRPr="00EE46DC">
        <w:rPr>
          <w:rFonts w:cs="Arial"/>
        </w:rPr>
        <w:t>corrections centers</w:t>
      </w:r>
      <w:r w:rsidR="003156CD" w:rsidRPr="00EE46DC">
        <w:rPr>
          <w:rFonts w:cs="Arial"/>
        </w:rPr>
        <w:t xml:space="preserve"> purchasing a significant amount of diesel on a regular basis</w:t>
      </w:r>
      <w:r w:rsidR="00B106D4" w:rsidRPr="00EE46DC">
        <w:rPr>
          <w:rFonts w:cs="Arial"/>
        </w:rPr>
        <w:t xml:space="preserve"> that could be using biodiesel blends</w:t>
      </w:r>
      <w:r w:rsidR="003156CD" w:rsidRPr="00EE46DC">
        <w:rPr>
          <w:rFonts w:cs="Arial"/>
        </w:rPr>
        <w:t xml:space="preserve"> include </w:t>
      </w:r>
      <w:r w:rsidR="00B106D4" w:rsidRPr="00EE46DC">
        <w:rPr>
          <w:rFonts w:cs="Arial"/>
        </w:rPr>
        <w:t>Larch</w:t>
      </w:r>
      <w:r w:rsidR="003156CD" w:rsidRPr="00EE46DC">
        <w:rPr>
          <w:rFonts w:cs="Arial"/>
        </w:rPr>
        <w:t>, Airway Heights, Monroe</w:t>
      </w:r>
      <w:r w:rsidR="00B106D4" w:rsidRPr="00EE46DC">
        <w:rPr>
          <w:rFonts w:cs="Arial"/>
        </w:rPr>
        <w:t>, and the Washington State Penitentiary in Walla Walla</w:t>
      </w:r>
      <w:r w:rsidR="003156CD" w:rsidRPr="00EE46DC">
        <w:rPr>
          <w:rFonts w:cs="Arial"/>
        </w:rPr>
        <w:t>.</w:t>
      </w:r>
    </w:p>
    <w:p w14:paraId="36AE0F16" w14:textId="77777777" w:rsidR="00B106D4" w:rsidRPr="00EE46DC" w:rsidRDefault="00B106D4" w:rsidP="00024BD3">
      <w:pPr>
        <w:pStyle w:val="ListParagraph"/>
        <w:spacing w:before="120" w:after="0"/>
        <w:ind w:left="821"/>
        <w:jc w:val="both"/>
        <w:rPr>
          <w:rFonts w:cs="Arial"/>
        </w:rPr>
      </w:pPr>
      <w:r w:rsidRPr="00EE46DC">
        <w:rPr>
          <w:rFonts w:cs="Arial"/>
        </w:rPr>
        <w:t>Fish &amp; Wildlife’s diesel purchases were pri</w:t>
      </w:r>
      <w:r w:rsidR="00960438">
        <w:rPr>
          <w:rFonts w:cs="Arial"/>
        </w:rPr>
        <w:t xml:space="preserve">marily for their </w:t>
      </w:r>
      <w:r w:rsidR="00960438" w:rsidRPr="00A9263A">
        <w:rPr>
          <w:rFonts w:cs="Arial"/>
        </w:rPr>
        <w:t>Lacey</w:t>
      </w:r>
      <w:r w:rsidR="00960438">
        <w:rPr>
          <w:rFonts w:cs="Arial"/>
        </w:rPr>
        <w:t xml:space="preserve"> headquarters</w:t>
      </w:r>
      <w:r w:rsidRPr="00EE46DC">
        <w:rPr>
          <w:rFonts w:cs="Arial"/>
        </w:rPr>
        <w:t xml:space="preserve">. The agency could </w:t>
      </w:r>
      <w:r w:rsidR="00125D1C">
        <w:rPr>
          <w:rFonts w:cs="Arial"/>
        </w:rPr>
        <w:t>consider</w:t>
      </w:r>
      <w:r w:rsidRPr="00EE46DC">
        <w:rPr>
          <w:rFonts w:cs="Arial"/>
        </w:rPr>
        <w:t xml:space="preserve"> biodiesel for their </w:t>
      </w:r>
      <w:r w:rsidR="00960438" w:rsidRPr="00A9263A">
        <w:rPr>
          <w:rFonts w:cs="Arial"/>
        </w:rPr>
        <w:t>Aberdeen</w:t>
      </w:r>
      <w:r w:rsidR="00960438" w:rsidRPr="00970B0C">
        <w:rPr>
          <w:rFonts w:cs="Arial"/>
        </w:rPr>
        <w:t xml:space="preserve"> </w:t>
      </w:r>
      <w:r w:rsidRPr="00EE46DC">
        <w:rPr>
          <w:rFonts w:cs="Arial"/>
        </w:rPr>
        <w:t>facility.</w:t>
      </w:r>
    </w:p>
    <w:p w14:paraId="4E85960F" w14:textId="77777777" w:rsidR="00B106D4" w:rsidRPr="00EE46DC" w:rsidRDefault="00B106D4" w:rsidP="00024BD3">
      <w:pPr>
        <w:pStyle w:val="ListParagraph"/>
        <w:spacing w:before="120" w:after="0"/>
        <w:ind w:left="821"/>
        <w:jc w:val="both"/>
        <w:rPr>
          <w:rFonts w:cs="Arial"/>
        </w:rPr>
      </w:pPr>
      <w:r w:rsidRPr="00EE46DC">
        <w:rPr>
          <w:rFonts w:cs="Arial"/>
        </w:rPr>
        <w:t xml:space="preserve">Natural Resources </w:t>
      </w:r>
      <w:r w:rsidR="00147540" w:rsidRPr="00EE46DC">
        <w:rPr>
          <w:rFonts w:cs="Arial"/>
        </w:rPr>
        <w:t>procur</w:t>
      </w:r>
      <w:r w:rsidR="00DC7D9C">
        <w:rPr>
          <w:rFonts w:cs="Arial"/>
        </w:rPr>
        <w:t>ed</w:t>
      </w:r>
      <w:r w:rsidR="00147540" w:rsidRPr="00EE46DC">
        <w:rPr>
          <w:rFonts w:cs="Arial"/>
        </w:rPr>
        <w:t xml:space="preserve"> </w:t>
      </w:r>
      <w:r w:rsidR="00960438">
        <w:rPr>
          <w:rFonts w:cs="Arial"/>
        </w:rPr>
        <w:t xml:space="preserve">biodiesel </w:t>
      </w:r>
      <w:r w:rsidR="00147540" w:rsidRPr="00EE46DC">
        <w:rPr>
          <w:rFonts w:cs="Arial"/>
        </w:rPr>
        <w:t>blends for both Forks (</w:t>
      </w:r>
      <w:r w:rsidR="003030B6">
        <w:rPr>
          <w:rFonts w:cs="Arial"/>
        </w:rPr>
        <w:t>16</w:t>
      </w:r>
      <w:r w:rsidR="00292F2C">
        <w:rPr>
          <w:rFonts w:cs="Arial"/>
        </w:rPr>
        <w:t>%</w:t>
      </w:r>
      <w:r w:rsidR="00147540" w:rsidRPr="00EE46DC">
        <w:rPr>
          <w:rFonts w:cs="Arial"/>
        </w:rPr>
        <w:t>) and Loomis (</w:t>
      </w:r>
      <w:r w:rsidR="003030B6">
        <w:rPr>
          <w:rFonts w:cs="Arial"/>
        </w:rPr>
        <w:t>11</w:t>
      </w:r>
      <w:r w:rsidR="00292F2C">
        <w:rPr>
          <w:rFonts w:cs="Arial"/>
        </w:rPr>
        <w:t>%</w:t>
      </w:r>
      <w:r w:rsidR="00147540" w:rsidRPr="00EE46DC">
        <w:rPr>
          <w:rFonts w:cs="Arial"/>
        </w:rPr>
        <w:t xml:space="preserve">). DNR purchased diesel for </w:t>
      </w:r>
      <w:r w:rsidR="003030B6">
        <w:rPr>
          <w:rFonts w:cs="Arial"/>
        </w:rPr>
        <w:t>two</w:t>
      </w:r>
      <w:r w:rsidR="003030B6" w:rsidRPr="00EE46DC">
        <w:rPr>
          <w:rFonts w:cs="Arial"/>
        </w:rPr>
        <w:t xml:space="preserve"> </w:t>
      </w:r>
      <w:r w:rsidR="00147540" w:rsidRPr="00EE46DC">
        <w:rPr>
          <w:rFonts w:cs="Arial"/>
        </w:rPr>
        <w:t>other sites, but the only one well-suited for biodiesel based on consistent fuel use and volumes is Yacolt.</w:t>
      </w:r>
    </w:p>
    <w:p w14:paraId="75DA99D5" w14:textId="77777777" w:rsidR="00147540" w:rsidRPr="00EE46DC" w:rsidRDefault="00147540" w:rsidP="00024BD3">
      <w:pPr>
        <w:pStyle w:val="ListParagraph"/>
        <w:spacing w:before="120" w:after="0"/>
        <w:ind w:left="821"/>
        <w:jc w:val="both"/>
        <w:rPr>
          <w:rFonts w:cs="Arial"/>
        </w:rPr>
      </w:pPr>
      <w:r w:rsidRPr="00EE46DC">
        <w:rPr>
          <w:rFonts w:cs="Arial"/>
        </w:rPr>
        <w:t xml:space="preserve">Social &amp; Health Services purchased diesel for </w:t>
      </w:r>
      <w:r w:rsidR="003030B6">
        <w:rPr>
          <w:rFonts w:cs="Arial"/>
        </w:rPr>
        <w:t>seven</w:t>
      </w:r>
      <w:r w:rsidR="003030B6" w:rsidRPr="00EE46DC">
        <w:rPr>
          <w:rFonts w:cs="Arial"/>
        </w:rPr>
        <w:t xml:space="preserve"> </w:t>
      </w:r>
      <w:r w:rsidRPr="00EE46DC">
        <w:rPr>
          <w:rFonts w:cs="Arial"/>
        </w:rPr>
        <w:t xml:space="preserve">facilities, </w:t>
      </w:r>
      <w:r w:rsidR="00792451">
        <w:rPr>
          <w:rFonts w:cs="Arial"/>
        </w:rPr>
        <w:t>but</w:t>
      </w:r>
      <w:r w:rsidRPr="00EE46DC">
        <w:rPr>
          <w:rFonts w:cs="Arial"/>
        </w:rPr>
        <w:t xml:space="preserve"> no biodiesel. The best opportunities to increase </w:t>
      </w:r>
      <w:r w:rsidR="00960438">
        <w:rPr>
          <w:rFonts w:cs="Arial"/>
        </w:rPr>
        <w:t xml:space="preserve">agency </w:t>
      </w:r>
      <w:r w:rsidRPr="00EE46DC">
        <w:rPr>
          <w:rFonts w:cs="Arial"/>
        </w:rPr>
        <w:t xml:space="preserve">biodiesel use based on consistent </w:t>
      </w:r>
      <w:r w:rsidR="00792451">
        <w:rPr>
          <w:rFonts w:cs="Arial"/>
        </w:rPr>
        <w:t xml:space="preserve">fuel </w:t>
      </w:r>
      <w:r w:rsidRPr="00EE46DC">
        <w:rPr>
          <w:rFonts w:cs="Arial"/>
        </w:rPr>
        <w:t xml:space="preserve">consumption and volumes would be the Fircrest Residential Habilitation Center in Shoreline, and </w:t>
      </w:r>
      <w:r w:rsidR="00960438">
        <w:rPr>
          <w:rFonts w:cs="Arial"/>
        </w:rPr>
        <w:t xml:space="preserve">the </w:t>
      </w:r>
      <w:r w:rsidRPr="00EE46DC">
        <w:rPr>
          <w:rFonts w:cs="Arial"/>
        </w:rPr>
        <w:t>Consolidated Support Services building in Medical Lake.</w:t>
      </w:r>
    </w:p>
    <w:p w14:paraId="5E4C7F28" w14:textId="77777777" w:rsidR="004E5EC5" w:rsidRDefault="00CF533C" w:rsidP="00024BD3">
      <w:pPr>
        <w:pStyle w:val="ListParagraph"/>
        <w:spacing w:before="120" w:after="0"/>
        <w:ind w:left="821"/>
        <w:jc w:val="both"/>
        <w:rPr>
          <w:rFonts w:cs="Arial"/>
        </w:rPr>
      </w:pPr>
      <w:r w:rsidRPr="00EE46DC">
        <w:rPr>
          <w:rFonts w:cs="Arial"/>
        </w:rPr>
        <w:t xml:space="preserve">Parks &amp; Recreation purchased diesel for </w:t>
      </w:r>
      <w:r w:rsidR="003030B6">
        <w:rPr>
          <w:rFonts w:cs="Arial"/>
        </w:rPr>
        <w:t>13</w:t>
      </w:r>
      <w:r w:rsidR="003030B6" w:rsidRPr="00EE46DC">
        <w:rPr>
          <w:rFonts w:cs="Arial"/>
        </w:rPr>
        <w:t xml:space="preserve"> </w:t>
      </w:r>
      <w:r w:rsidRPr="00EE46DC">
        <w:rPr>
          <w:rFonts w:cs="Arial"/>
        </w:rPr>
        <w:t xml:space="preserve">facilities, but no biodiesel. Most locations used very modest levels of fuel, but there are three </w:t>
      </w:r>
      <w:r w:rsidR="00960438">
        <w:rPr>
          <w:rFonts w:cs="Arial"/>
        </w:rPr>
        <w:t xml:space="preserve">others </w:t>
      </w:r>
      <w:r w:rsidRPr="00EE46DC">
        <w:rPr>
          <w:rFonts w:cs="Arial"/>
        </w:rPr>
        <w:t xml:space="preserve">that based on consistent </w:t>
      </w:r>
      <w:r w:rsidR="00792451">
        <w:rPr>
          <w:rFonts w:cs="Arial"/>
        </w:rPr>
        <w:t xml:space="preserve">fuel </w:t>
      </w:r>
      <w:r w:rsidRPr="00EE46DC">
        <w:rPr>
          <w:rFonts w:cs="Arial"/>
        </w:rPr>
        <w:t>consumption and volumes would be candidates for biodiesel: Fort Flagler, Deception Pass, and Spanaway Lake.</w:t>
      </w:r>
    </w:p>
    <w:p w14:paraId="37B70842" w14:textId="512CFBB2" w:rsidR="00CF533C" w:rsidRDefault="004E5EC5" w:rsidP="00024BD3">
      <w:pPr>
        <w:pStyle w:val="ListParagraph"/>
        <w:spacing w:before="120" w:after="0"/>
        <w:ind w:left="821"/>
        <w:jc w:val="both"/>
        <w:rPr>
          <w:rFonts w:cs="Arial"/>
        </w:rPr>
      </w:pPr>
      <w:r w:rsidRPr="00EE46DC">
        <w:rPr>
          <w:rFonts w:cs="Arial"/>
        </w:rPr>
        <w:t xml:space="preserve">Prior biodiesel reports attempted to quantify diesel use by </w:t>
      </w:r>
      <w:r>
        <w:rPr>
          <w:rFonts w:cs="Arial"/>
        </w:rPr>
        <w:t>Pierce County ferries</w:t>
      </w:r>
      <w:r w:rsidRPr="00EE46DC">
        <w:rPr>
          <w:rFonts w:cs="Arial"/>
        </w:rPr>
        <w:t xml:space="preserve"> servicing the McNeil Island Corrections Center. Given that this ferry also calls at other locations, and that a relatively low volume of fuel was being consumed to meet DOC’s specific needs, an estimate is no longer included in this report.</w:t>
      </w:r>
    </w:p>
    <w:p w14:paraId="45C0BE92" w14:textId="77777777" w:rsidR="00F054A3" w:rsidRDefault="00F054A3" w:rsidP="00F054A3">
      <w:pPr>
        <w:pStyle w:val="ListParagraph"/>
        <w:numPr>
          <w:ilvl w:val="0"/>
          <w:numId w:val="0"/>
        </w:numPr>
        <w:spacing w:before="120" w:after="0"/>
        <w:ind w:left="821"/>
        <w:jc w:val="both"/>
        <w:rPr>
          <w:rFonts w:cs="Arial"/>
        </w:rPr>
      </w:pPr>
    </w:p>
    <w:p w14:paraId="70170907" w14:textId="143C18C7" w:rsidR="00F30A4C" w:rsidRPr="00024BD3" w:rsidRDefault="00F30A4C" w:rsidP="00024BD3">
      <w:pPr>
        <w:spacing w:before="120"/>
        <w:jc w:val="both"/>
        <w:rPr>
          <w:rFonts w:cs="Arial"/>
        </w:rPr>
      </w:pPr>
      <w:r>
        <w:rPr>
          <w:rFonts w:cs="Arial"/>
        </w:rPr>
        <w:t xml:space="preserve">These recommendations have been shared with each respective agency for consideration and implementation. DES thanks the following contributors for their assistance in providing this annual report. </w:t>
      </w:r>
    </w:p>
    <w:p w14:paraId="03C4A6F2" w14:textId="77777777" w:rsidR="004B1DF0" w:rsidRPr="00A53E6D" w:rsidRDefault="005C557A" w:rsidP="00F054A3">
      <w:pPr>
        <w:pStyle w:val="Heading1"/>
        <w:spacing w:line="276" w:lineRule="auto"/>
        <w:jc w:val="both"/>
        <w:rPr>
          <w:rFonts w:cs="Arial"/>
        </w:rPr>
      </w:pPr>
      <w:r w:rsidRPr="00A53E6D">
        <w:rPr>
          <w:rFonts w:cs="Arial"/>
        </w:rPr>
        <w:t>Contributors</w:t>
      </w:r>
    </w:p>
    <w:p w14:paraId="2A4532A9" w14:textId="77777777" w:rsidR="004B1DF0" w:rsidRPr="00A53E6D" w:rsidRDefault="004B1DF0" w:rsidP="004C1F40">
      <w:pPr>
        <w:pStyle w:val="BodyText"/>
        <w:jc w:val="both"/>
        <w:rPr>
          <w:rFonts w:cs="Arial"/>
        </w:rPr>
      </w:pPr>
      <w:r w:rsidRPr="00A53E6D">
        <w:rPr>
          <w:rFonts w:cs="Arial"/>
        </w:rPr>
        <w:t>Contributors to this report include:</w:t>
      </w:r>
    </w:p>
    <w:p w14:paraId="3BB53F55" w14:textId="77777777" w:rsidR="000B0EED" w:rsidRPr="00A53E6D" w:rsidRDefault="000B0EED" w:rsidP="004C1F40">
      <w:pPr>
        <w:pStyle w:val="BodyText"/>
        <w:numPr>
          <w:ilvl w:val="1"/>
          <w:numId w:val="10"/>
        </w:numPr>
        <w:jc w:val="both"/>
        <w:rPr>
          <w:rFonts w:cs="Arial"/>
        </w:rPr>
      </w:pPr>
      <w:r w:rsidRPr="00A53E6D">
        <w:rPr>
          <w:rFonts w:cs="Arial"/>
        </w:rPr>
        <w:t>Washington</w:t>
      </w:r>
      <w:r w:rsidRPr="00A53E6D">
        <w:rPr>
          <w:rFonts w:cs="Arial"/>
          <w:spacing w:val="1"/>
        </w:rPr>
        <w:t xml:space="preserve"> </w:t>
      </w:r>
      <w:r w:rsidRPr="00A53E6D">
        <w:rPr>
          <w:rFonts w:cs="Arial"/>
        </w:rPr>
        <w:t xml:space="preserve">Department of Enterprise Services, </w:t>
      </w:r>
      <w:r w:rsidR="003A248D">
        <w:rPr>
          <w:rFonts w:cs="Arial"/>
        </w:rPr>
        <w:t>Elena McGrew</w:t>
      </w:r>
      <w:r w:rsidR="00B81055">
        <w:rPr>
          <w:rFonts w:cs="Arial"/>
        </w:rPr>
        <w:t xml:space="preserve"> (360) 407-</w:t>
      </w:r>
      <w:r w:rsidR="003A248D">
        <w:rPr>
          <w:rFonts w:cs="Arial"/>
        </w:rPr>
        <w:t>7957</w:t>
      </w:r>
    </w:p>
    <w:p w14:paraId="334B73BA" w14:textId="77777777" w:rsidR="000B0EED" w:rsidRPr="00A53E6D" w:rsidRDefault="000B0EED" w:rsidP="004C1F40">
      <w:pPr>
        <w:pStyle w:val="BodyText"/>
        <w:numPr>
          <w:ilvl w:val="1"/>
          <w:numId w:val="10"/>
        </w:numPr>
        <w:jc w:val="both"/>
        <w:rPr>
          <w:rFonts w:cs="Arial"/>
        </w:rPr>
      </w:pPr>
      <w:r w:rsidRPr="00A53E6D">
        <w:rPr>
          <w:rFonts w:cs="Arial"/>
        </w:rPr>
        <w:t>Washington Department of Agriculture, Timothy Elliott (360) 902-1984</w:t>
      </w:r>
    </w:p>
    <w:p w14:paraId="70A363DC" w14:textId="77777777" w:rsidR="004B1DF0" w:rsidRPr="008F5048" w:rsidRDefault="004B1DF0" w:rsidP="004C1F40">
      <w:pPr>
        <w:pStyle w:val="BodyText"/>
        <w:numPr>
          <w:ilvl w:val="1"/>
          <w:numId w:val="10"/>
        </w:numPr>
        <w:jc w:val="both"/>
        <w:rPr>
          <w:rFonts w:cs="Arial"/>
        </w:rPr>
      </w:pPr>
      <w:r w:rsidRPr="00A53E6D">
        <w:rPr>
          <w:rFonts w:cs="Arial"/>
          <w:spacing w:val="-1"/>
        </w:rPr>
        <w:t>Washington</w:t>
      </w:r>
      <w:r w:rsidRPr="00A53E6D">
        <w:rPr>
          <w:rFonts w:cs="Arial"/>
          <w:spacing w:val="1"/>
        </w:rPr>
        <w:t xml:space="preserve"> </w:t>
      </w:r>
      <w:r w:rsidRPr="00A53E6D">
        <w:rPr>
          <w:rFonts w:cs="Arial"/>
          <w:spacing w:val="-1"/>
        </w:rPr>
        <w:t>Department</w:t>
      </w:r>
      <w:r w:rsidRPr="00A53E6D">
        <w:rPr>
          <w:rFonts w:cs="Arial"/>
        </w:rPr>
        <w:t xml:space="preserve"> of </w:t>
      </w:r>
      <w:r w:rsidRPr="00A53E6D">
        <w:rPr>
          <w:rFonts w:cs="Arial"/>
          <w:spacing w:val="-1"/>
        </w:rPr>
        <w:t>Commerce,</w:t>
      </w:r>
      <w:r w:rsidRPr="00A53E6D">
        <w:rPr>
          <w:rFonts w:cs="Arial"/>
        </w:rPr>
        <w:t xml:space="preserve"> </w:t>
      </w:r>
      <w:r w:rsidRPr="008F5048">
        <w:rPr>
          <w:rFonts w:cs="Arial"/>
        </w:rPr>
        <w:t>Peter Moulton (360)</w:t>
      </w:r>
      <w:r w:rsidRPr="008F5048">
        <w:rPr>
          <w:rFonts w:cs="Arial"/>
          <w:spacing w:val="-1"/>
        </w:rPr>
        <w:t xml:space="preserve"> </w:t>
      </w:r>
      <w:r w:rsidRPr="008F5048">
        <w:rPr>
          <w:rFonts w:cs="Arial"/>
        </w:rPr>
        <w:t>725-3116</w:t>
      </w:r>
    </w:p>
    <w:p w14:paraId="473ADF17" w14:textId="77777777" w:rsidR="004B1DF0" w:rsidRPr="00A53E6D" w:rsidRDefault="004B1DF0" w:rsidP="004C1F40">
      <w:pPr>
        <w:pStyle w:val="BodyText"/>
        <w:numPr>
          <w:ilvl w:val="1"/>
          <w:numId w:val="10"/>
        </w:numPr>
        <w:jc w:val="both"/>
        <w:rPr>
          <w:rFonts w:cs="Arial"/>
        </w:rPr>
      </w:pPr>
      <w:r w:rsidRPr="008F5048">
        <w:rPr>
          <w:rFonts w:cs="Arial"/>
        </w:rPr>
        <w:t>Washington Department of Transportation,</w:t>
      </w:r>
      <w:r w:rsidRPr="008F5048">
        <w:rPr>
          <w:rFonts w:cs="Arial"/>
          <w:spacing w:val="2"/>
        </w:rPr>
        <w:t xml:space="preserve"> </w:t>
      </w:r>
      <w:r w:rsidR="003A248D" w:rsidRPr="006656DE">
        <w:rPr>
          <w:rFonts w:cs="Arial"/>
        </w:rPr>
        <w:t>Christopher Case (360) 705-7897</w:t>
      </w:r>
    </w:p>
    <w:p w14:paraId="388D4C0C" w14:textId="77777777" w:rsidR="00201F9E" w:rsidRPr="00A53E6D" w:rsidRDefault="00201F9E" w:rsidP="004C1F40">
      <w:pPr>
        <w:pStyle w:val="BodyText"/>
        <w:numPr>
          <w:ilvl w:val="1"/>
          <w:numId w:val="10"/>
        </w:numPr>
        <w:jc w:val="both"/>
        <w:rPr>
          <w:rFonts w:cs="Arial"/>
        </w:rPr>
      </w:pPr>
      <w:r w:rsidRPr="00A53E6D">
        <w:rPr>
          <w:rFonts w:cs="Arial"/>
        </w:rPr>
        <w:t xml:space="preserve">Washington State Ferries, </w:t>
      </w:r>
      <w:r w:rsidR="006067F1" w:rsidRPr="00A53E6D">
        <w:rPr>
          <w:rFonts w:cs="Arial"/>
        </w:rPr>
        <w:t>Rick Singer</w:t>
      </w:r>
      <w:r w:rsidRPr="00A53E6D">
        <w:rPr>
          <w:rFonts w:cs="Arial"/>
        </w:rPr>
        <w:t xml:space="preserve"> </w:t>
      </w:r>
      <w:r w:rsidR="00E738D7" w:rsidRPr="00A53E6D">
        <w:rPr>
          <w:rFonts w:cs="Arial"/>
        </w:rPr>
        <w:t>(206)</w:t>
      </w:r>
      <w:r w:rsidR="00E738D7" w:rsidRPr="00A53E6D">
        <w:rPr>
          <w:rFonts w:cs="Arial"/>
          <w:spacing w:val="-2"/>
        </w:rPr>
        <w:t xml:space="preserve"> </w:t>
      </w:r>
      <w:r w:rsidR="00E738D7" w:rsidRPr="00A53E6D">
        <w:rPr>
          <w:rFonts w:cs="Arial"/>
        </w:rPr>
        <w:t>515-3403</w:t>
      </w:r>
    </w:p>
    <w:sectPr w:rsidR="00201F9E" w:rsidRPr="00A53E6D" w:rsidSect="002C4E32">
      <w:headerReference w:type="default" r:id="rId20"/>
      <w:footerReference w:type="default" r:id="rId21"/>
      <w:pgSz w:w="12240" w:h="15840"/>
      <w:pgMar w:top="1440" w:right="1440" w:bottom="1152" w:left="1440" w:header="576" w:footer="766" w:gutter="0"/>
      <w:pgNumType w:start="1"/>
      <w:cols w:space="720" w:equalWidth="0">
        <w:col w:w="946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45CA8" w14:textId="77777777" w:rsidR="00173204" w:rsidRDefault="00173204" w:rsidP="004B1DF0">
      <w:r>
        <w:separator/>
      </w:r>
    </w:p>
  </w:endnote>
  <w:endnote w:type="continuationSeparator" w:id="0">
    <w:p w14:paraId="7501C09A" w14:textId="77777777" w:rsidR="00173204" w:rsidRDefault="00173204" w:rsidP="004B1DF0">
      <w:r>
        <w:continuationSeparator/>
      </w:r>
    </w:p>
  </w:endnote>
  <w:endnote w:type="continuationNotice" w:id="1">
    <w:p w14:paraId="3AEC6B7C" w14:textId="77777777" w:rsidR="00173204" w:rsidRDefault="001732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i/>
        <w:sz w:val="22"/>
        <w:szCs w:val="22"/>
      </w:rPr>
      <w:id w:val="-303160509"/>
      <w:docPartObj>
        <w:docPartGallery w:val="Page Numbers (Bottom of Page)"/>
        <w:docPartUnique/>
      </w:docPartObj>
    </w:sdtPr>
    <w:sdtEndPr>
      <w:rPr>
        <w:noProof/>
      </w:rPr>
    </w:sdtEndPr>
    <w:sdtContent>
      <w:p w14:paraId="66EFBA68" w14:textId="77777777" w:rsidR="00DE50FB" w:rsidRPr="00EE46DC" w:rsidRDefault="00DE50FB">
        <w:pPr>
          <w:pStyle w:val="Footer"/>
          <w:jc w:val="center"/>
          <w:rPr>
            <w:rFonts w:cs="Arial"/>
            <w:i/>
          </w:rPr>
        </w:pPr>
      </w:p>
      <w:p w14:paraId="15CF11BC" w14:textId="75C882B5" w:rsidR="00DE50FB" w:rsidRDefault="00DE50FB" w:rsidP="00EE46DC">
        <w:pPr>
          <w:pStyle w:val="Footer"/>
          <w:jc w:val="center"/>
        </w:pPr>
        <w:r w:rsidRPr="00EE46DC">
          <w:rPr>
            <w:rFonts w:cs="Arial"/>
            <w:i/>
            <w:sz w:val="20"/>
            <w:szCs w:val="20"/>
          </w:rPr>
          <w:t xml:space="preserve">Page </w:t>
        </w:r>
        <w:r w:rsidRPr="00DC7D9C">
          <w:rPr>
            <w:rFonts w:cs="Arial"/>
            <w:i/>
            <w:sz w:val="20"/>
            <w:szCs w:val="20"/>
          </w:rPr>
          <w:fldChar w:fldCharType="begin"/>
        </w:r>
        <w:r w:rsidRPr="00DC7D9C">
          <w:rPr>
            <w:rFonts w:cs="Arial"/>
            <w:i/>
            <w:sz w:val="20"/>
            <w:szCs w:val="20"/>
          </w:rPr>
          <w:instrText xml:space="preserve"> PAGE   \* MERGEFORMAT </w:instrText>
        </w:r>
        <w:r w:rsidRPr="00DC7D9C">
          <w:rPr>
            <w:rFonts w:cs="Arial"/>
            <w:i/>
            <w:sz w:val="20"/>
            <w:szCs w:val="20"/>
          </w:rPr>
          <w:fldChar w:fldCharType="separate"/>
        </w:r>
        <w:r w:rsidR="00F054A3">
          <w:rPr>
            <w:rFonts w:cs="Arial"/>
            <w:i/>
            <w:noProof/>
            <w:sz w:val="20"/>
            <w:szCs w:val="20"/>
          </w:rPr>
          <w:t>9</w:t>
        </w:r>
        <w:r w:rsidRPr="00DC7D9C">
          <w:rPr>
            <w:rFonts w:cs="Arial"/>
            <w:i/>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4EF4E" w14:textId="77777777" w:rsidR="00173204" w:rsidRDefault="00173204" w:rsidP="004B1DF0">
      <w:r>
        <w:separator/>
      </w:r>
    </w:p>
  </w:footnote>
  <w:footnote w:type="continuationSeparator" w:id="0">
    <w:p w14:paraId="0BFC75E1" w14:textId="77777777" w:rsidR="00173204" w:rsidRDefault="00173204" w:rsidP="004B1DF0">
      <w:r>
        <w:continuationSeparator/>
      </w:r>
    </w:p>
  </w:footnote>
  <w:footnote w:type="continuationNotice" w:id="1">
    <w:p w14:paraId="761943E4" w14:textId="77777777" w:rsidR="00173204" w:rsidRDefault="001732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9EC71" w14:textId="77777777" w:rsidR="00DE50FB" w:rsidRPr="00EE46DC" w:rsidRDefault="00DE50FB" w:rsidP="00F43A7B">
    <w:pPr>
      <w:pStyle w:val="Header"/>
      <w:jc w:val="center"/>
      <w:rPr>
        <w:rFonts w:cs="Arial"/>
        <w:b/>
      </w:rPr>
    </w:pPr>
    <w:r w:rsidRPr="00EE46DC">
      <w:rPr>
        <w:rFonts w:cs="Arial"/>
        <w:b/>
      </w:rPr>
      <w:t>Biodiesel Use by Washington State Agencies</w:t>
    </w:r>
  </w:p>
  <w:p w14:paraId="7530784D" w14:textId="77777777" w:rsidR="00DE50FB" w:rsidRPr="00EE46DC" w:rsidRDefault="00DE50FB" w:rsidP="00F43A7B">
    <w:pPr>
      <w:pStyle w:val="Header"/>
      <w:jc w:val="center"/>
      <w:rPr>
        <w:rFonts w:cs="Arial"/>
        <w:i/>
      </w:rPr>
    </w:pPr>
    <w:r w:rsidRPr="00EE46DC">
      <w:rPr>
        <w:rFonts w:cs="Arial"/>
        <w:i/>
      </w:rPr>
      <w:t>January to December 20</w:t>
    </w:r>
    <w:r w:rsidR="00767044">
      <w:rPr>
        <w:rFonts w:cs="Arial"/>
        <w:i/>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820" w:hanging="360"/>
      </w:pPr>
      <w:rPr>
        <w:rFonts w:ascii="Symbol" w:hAnsi="Symbol" w:cs="Symbol"/>
        <w:b w:val="0"/>
        <w:bCs w:val="0"/>
        <w:sz w:val="24"/>
        <w:szCs w:val="24"/>
      </w:rPr>
    </w:lvl>
    <w:lvl w:ilvl="1">
      <w:numFmt w:val="bullet"/>
      <w:lvlText w:val="•"/>
      <w:lvlJc w:val="left"/>
      <w:pPr>
        <w:ind w:left="1688" w:hanging="360"/>
      </w:pPr>
    </w:lvl>
    <w:lvl w:ilvl="2">
      <w:numFmt w:val="bullet"/>
      <w:lvlText w:val="•"/>
      <w:lvlJc w:val="left"/>
      <w:pPr>
        <w:ind w:left="2556" w:hanging="360"/>
      </w:pPr>
    </w:lvl>
    <w:lvl w:ilvl="3">
      <w:numFmt w:val="bullet"/>
      <w:lvlText w:val="•"/>
      <w:lvlJc w:val="left"/>
      <w:pPr>
        <w:ind w:left="3424" w:hanging="360"/>
      </w:pPr>
    </w:lvl>
    <w:lvl w:ilvl="4">
      <w:numFmt w:val="bullet"/>
      <w:lvlText w:val="•"/>
      <w:lvlJc w:val="left"/>
      <w:pPr>
        <w:ind w:left="4292" w:hanging="360"/>
      </w:pPr>
    </w:lvl>
    <w:lvl w:ilvl="5">
      <w:numFmt w:val="bullet"/>
      <w:lvlText w:val="•"/>
      <w:lvlJc w:val="left"/>
      <w:pPr>
        <w:ind w:left="5160" w:hanging="360"/>
      </w:pPr>
    </w:lvl>
    <w:lvl w:ilvl="6">
      <w:numFmt w:val="bullet"/>
      <w:lvlText w:val="•"/>
      <w:lvlJc w:val="left"/>
      <w:pPr>
        <w:ind w:left="6028" w:hanging="360"/>
      </w:pPr>
    </w:lvl>
    <w:lvl w:ilvl="7">
      <w:numFmt w:val="bullet"/>
      <w:lvlText w:val="•"/>
      <w:lvlJc w:val="left"/>
      <w:pPr>
        <w:ind w:left="6896" w:hanging="360"/>
      </w:pPr>
    </w:lvl>
    <w:lvl w:ilvl="8">
      <w:numFmt w:val="bullet"/>
      <w:lvlText w:val="•"/>
      <w:lvlJc w:val="left"/>
      <w:pPr>
        <w:ind w:left="7764" w:hanging="360"/>
      </w:pPr>
    </w:lvl>
  </w:abstractNum>
  <w:abstractNum w:abstractNumId="1" w15:restartNumberingAfterBreak="0">
    <w:nsid w:val="00000403"/>
    <w:multiLevelType w:val="multilevel"/>
    <w:tmpl w:val="00000886"/>
    <w:lvl w:ilvl="0">
      <w:numFmt w:val="bullet"/>
      <w:lvlText w:val=""/>
      <w:lvlJc w:val="left"/>
      <w:pPr>
        <w:ind w:left="460" w:hanging="360"/>
      </w:pPr>
      <w:rPr>
        <w:rFonts w:ascii="Symbol" w:hAnsi="Symbol" w:cs="Symbol"/>
        <w:b w:val="0"/>
        <w:bCs w:val="0"/>
        <w:sz w:val="24"/>
        <w:szCs w:val="24"/>
      </w:rPr>
    </w:lvl>
    <w:lvl w:ilvl="1">
      <w:numFmt w:val="bullet"/>
      <w:lvlText w:val=""/>
      <w:lvlJc w:val="left"/>
      <w:pPr>
        <w:ind w:left="820" w:hanging="360"/>
      </w:pPr>
      <w:rPr>
        <w:rFonts w:ascii="Symbol" w:hAnsi="Symbol" w:cs="Symbol"/>
        <w:b w:val="0"/>
        <w:bCs w:val="0"/>
        <w:sz w:val="24"/>
        <w:szCs w:val="24"/>
      </w:rPr>
    </w:lvl>
    <w:lvl w:ilvl="2">
      <w:numFmt w:val="bullet"/>
      <w:lvlText w:val="•"/>
      <w:lvlJc w:val="left"/>
      <w:pPr>
        <w:ind w:left="1749" w:hanging="360"/>
      </w:pPr>
    </w:lvl>
    <w:lvl w:ilvl="3">
      <w:numFmt w:val="bullet"/>
      <w:lvlText w:val="•"/>
      <w:lvlJc w:val="left"/>
      <w:pPr>
        <w:ind w:left="2678" w:hanging="360"/>
      </w:pPr>
    </w:lvl>
    <w:lvl w:ilvl="4">
      <w:numFmt w:val="bullet"/>
      <w:lvlText w:val="•"/>
      <w:lvlJc w:val="left"/>
      <w:pPr>
        <w:ind w:left="3606" w:hanging="360"/>
      </w:pPr>
    </w:lvl>
    <w:lvl w:ilvl="5">
      <w:numFmt w:val="bullet"/>
      <w:lvlText w:val="•"/>
      <w:lvlJc w:val="left"/>
      <w:pPr>
        <w:ind w:left="4535" w:hanging="360"/>
      </w:pPr>
    </w:lvl>
    <w:lvl w:ilvl="6">
      <w:numFmt w:val="bullet"/>
      <w:lvlText w:val="•"/>
      <w:lvlJc w:val="left"/>
      <w:pPr>
        <w:ind w:left="5464" w:hanging="360"/>
      </w:pPr>
    </w:lvl>
    <w:lvl w:ilvl="7">
      <w:numFmt w:val="bullet"/>
      <w:lvlText w:val="•"/>
      <w:lvlJc w:val="left"/>
      <w:pPr>
        <w:ind w:left="6393" w:hanging="360"/>
      </w:pPr>
    </w:lvl>
    <w:lvl w:ilvl="8">
      <w:numFmt w:val="bullet"/>
      <w:lvlText w:val="•"/>
      <w:lvlJc w:val="left"/>
      <w:pPr>
        <w:ind w:left="7322" w:hanging="360"/>
      </w:pPr>
    </w:lvl>
  </w:abstractNum>
  <w:abstractNum w:abstractNumId="2" w15:restartNumberingAfterBreak="0">
    <w:nsid w:val="00000404"/>
    <w:multiLevelType w:val="multilevel"/>
    <w:tmpl w:val="00000887"/>
    <w:lvl w:ilvl="0">
      <w:numFmt w:val="bullet"/>
      <w:lvlText w:val="-"/>
      <w:lvlJc w:val="left"/>
      <w:pPr>
        <w:ind w:left="820" w:hanging="360"/>
      </w:pPr>
      <w:rPr>
        <w:rFonts w:ascii="Times New Roman" w:hAnsi="Times New Roman" w:cs="Times New Roman"/>
        <w:b w:val="0"/>
        <w:bCs w:val="0"/>
        <w:sz w:val="24"/>
        <w:szCs w:val="24"/>
      </w:rPr>
    </w:lvl>
    <w:lvl w:ilvl="1">
      <w:numFmt w:val="bullet"/>
      <w:lvlText w:val="•"/>
      <w:lvlJc w:val="left"/>
      <w:pPr>
        <w:ind w:left="1694" w:hanging="360"/>
      </w:pPr>
    </w:lvl>
    <w:lvl w:ilvl="2">
      <w:numFmt w:val="bullet"/>
      <w:lvlText w:val="•"/>
      <w:lvlJc w:val="left"/>
      <w:pPr>
        <w:ind w:left="2568" w:hanging="360"/>
      </w:pPr>
    </w:lvl>
    <w:lvl w:ilvl="3">
      <w:numFmt w:val="bullet"/>
      <w:lvlText w:val="•"/>
      <w:lvlJc w:val="left"/>
      <w:pPr>
        <w:ind w:left="3442" w:hanging="360"/>
      </w:pPr>
    </w:lvl>
    <w:lvl w:ilvl="4">
      <w:numFmt w:val="bullet"/>
      <w:lvlText w:val="•"/>
      <w:lvlJc w:val="left"/>
      <w:pPr>
        <w:ind w:left="4316" w:hanging="360"/>
      </w:pPr>
    </w:lvl>
    <w:lvl w:ilvl="5">
      <w:numFmt w:val="bullet"/>
      <w:lvlText w:val="•"/>
      <w:lvlJc w:val="left"/>
      <w:pPr>
        <w:ind w:left="5190" w:hanging="360"/>
      </w:pPr>
    </w:lvl>
    <w:lvl w:ilvl="6">
      <w:numFmt w:val="bullet"/>
      <w:lvlText w:val="•"/>
      <w:lvlJc w:val="left"/>
      <w:pPr>
        <w:ind w:left="6064" w:hanging="360"/>
      </w:pPr>
    </w:lvl>
    <w:lvl w:ilvl="7">
      <w:numFmt w:val="bullet"/>
      <w:lvlText w:val="•"/>
      <w:lvlJc w:val="left"/>
      <w:pPr>
        <w:ind w:left="6938" w:hanging="360"/>
      </w:pPr>
    </w:lvl>
    <w:lvl w:ilvl="8">
      <w:numFmt w:val="bullet"/>
      <w:lvlText w:val="•"/>
      <w:lvlJc w:val="left"/>
      <w:pPr>
        <w:ind w:left="7812" w:hanging="360"/>
      </w:pPr>
    </w:lvl>
  </w:abstractNum>
  <w:abstractNum w:abstractNumId="3" w15:restartNumberingAfterBreak="0">
    <w:nsid w:val="00000405"/>
    <w:multiLevelType w:val="multilevel"/>
    <w:tmpl w:val="E1D401F0"/>
    <w:lvl w:ilvl="0">
      <w:start w:val="1"/>
      <w:numFmt w:val="bullet"/>
      <w:lvlText w:val=""/>
      <w:lvlJc w:val="left"/>
      <w:pPr>
        <w:ind w:left="820" w:hanging="360"/>
      </w:pPr>
      <w:rPr>
        <w:rFonts w:ascii="Symbol" w:hAnsi="Symbol" w:hint="default"/>
        <w:b w:val="0"/>
        <w:bCs w:val="0"/>
        <w:sz w:val="24"/>
        <w:szCs w:val="24"/>
      </w:rPr>
    </w:lvl>
    <w:lvl w:ilvl="1">
      <w:numFmt w:val="bullet"/>
      <w:lvlText w:val="•"/>
      <w:lvlJc w:val="left"/>
      <w:pPr>
        <w:ind w:left="1690" w:hanging="360"/>
      </w:pPr>
    </w:lvl>
    <w:lvl w:ilvl="2">
      <w:numFmt w:val="bullet"/>
      <w:lvlText w:val="•"/>
      <w:lvlJc w:val="left"/>
      <w:pPr>
        <w:ind w:left="2560" w:hanging="360"/>
      </w:pPr>
    </w:lvl>
    <w:lvl w:ilvl="3">
      <w:numFmt w:val="bullet"/>
      <w:lvlText w:val="•"/>
      <w:lvlJc w:val="left"/>
      <w:pPr>
        <w:ind w:left="3430" w:hanging="360"/>
      </w:pPr>
    </w:lvl>
    <w:lvl w:ilvl="4">
      <w:numFmt w:val="bullet"/>
      <w:lvlText w:val="•"/>
      <w:lvlJc w:val="left"/>
      <w:pPr>
        <w:ind w:left="4300" w:hanging="360"/>
      </w:pPr>
    </w:lvl>
    <w:lvl w:ilvl="5">
      <w:numFmt w:val="bullet"/>
      <w:lvlText w:val="•"/>
      <w:lvlJc w:val="left"/>
      <w:pPr>
        <w:ind w:left="5170" w:hanging="360"/>
      </w:pPr>
    </w:lvl>
    <w:lvl w:ilvl="6">
      <w:numFmt w:val="bullet"/>
      <w:lvlText w:val="•"/>
      <w:lvlJc w:val="left"/>
      <w:pPr>
        <w:ind w:left="6040" w:hanging="360"/>
      </w:pPr>
    </w:lvl>
    <w:lvl w:ilvl="7">
      <w:numFmt w:val="bullet"/>
      <w:lvlText w:val="•"/>
      <w:lvlJc w:val="left"/>
      <w:pPr>
        <w:ind w:left="6910" w:hanging="360"/>
      </w:pPr>
    </w:lvl>
    <w:lvl w:ilvl="8">
      <w:numFmt w:val="bullet"/>
      <w:lvlText w:val="•"/>
      <w:lvlJc w:val="left"/>
      <w:pPr>
        <w:ind w:left="7780" w:hanging="360"/>
      </w:pPr>
    </w:lvl>
  </w:abstractNum>
  <w:abstractNum w:abstractNumId="4" w15:restartNumberingAfterBreak="0">
    <w:nsid w:val="00000406"/>
    <w:multiLevelType w:val="multilevel"/>
    <w:tmpl w:val="00000889"/>
    <w:lvl w:ilvl="0">
      <w:numFmt w:val="bullet"/>
      <w:lvlText w:val="-"/>
      <w:lvlJc w:val="left"/>
      <w:pPr>
        <w:ind w:left="1180" w:hanging="360"/>
      </w:pPr>
      <w:rPr>
        <w:rFonts w:ascii="Times New Roman" w:hAnsi="Times New Roman" w:cs="Times New Roman"/>
        <w:b w:val="0"/>
        <w:bCs w:val="0"/>
        <w:sz w:val="24"/>
        <w:szCs w:val="24"/>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5" w15:restartNumberingAfterBreak="0">
    <w:nsid w:val="00000407"/>
    <w:multiLevelType w:val="multilevel"/>
    <w:tmpl w:val="0000088A"/>
    <w:lvl w:ilvl="0">
      <w:numFmt w:val="bullet"/>
      <w:lvlText w:val="-"/>
      <w:lvlJc w:val="left"/>
      <w:pPr>
        <w:ind w:left="1180" w:hanging="360"/>
      </w:pPr>
      <w:rPr>
        <w:rFonts w:ascii="Times New Roman" w:hAnsi="Times New Roman" w:cs="Times New Roman"/>
        <w:b w:val="0"/>
        <w:bCs w:val="0"/>
        <w:sz w:val="24"/>
        <w:szCs w:val="24"/>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6" w15:restartNumberingAfterBreak="0">
    <w:nsid w:val="00F3100C"/>
    <w:multiLevelType w:val="multilevel"/>
    <w:tmpl w:val="E1D401F0"/>
    <w:lvl w:ilvl="0">
      <w:start w:val="1"/>
      <w:numFmt w:val="bullet"/>
      <w:lvlText w:val=""/>
      <w:lvlJc w:val="left"/>
      <w:pPr>
        <w:ind w:left="820" w:hanging="360"/>
      </w:pPr>
      <w:rPr>
        <w:rFonts w:ascii="Symbol" w:hAnsi="Symbol" w:hint="default"/>
        <w:b w:val="0"/>
        <w:bCs w:val="0"/>
        <w:sz w:val="24"/>
        <w:szCs w:val="24"/>
      </w:rPr>
    </w:lvl>
    <w:lvl w:ilvl="1">
      <w:numFmt w:val="bullet"/>
      <w:lvlText w:val="•"/>
      <w:lvlJc w:val="left"/>
      <w:pPr>
        <w:ind w:left="1690" w:hanging="360"/>
      </w:pPr>
    </w:lvl>
    <w:lvl w:ilvl="2">
      <w:numFmt w:val="bullet"/>
      <w:lvlText w:val="•"/>
      <w:lvlJc w:val="left"/>
      <w:pPr>
        <w:ind w:left="2560" w:hanging="360"/>
      </w:pPr>
    </w:lvl>
    <w:lvl w:ilvl="3">
      <w:numFmt w:val="bullet"/>
      <w:lvlText w:val="•"/>
      <w:lvlJc w:val="left"/>
      <w:pPr>
        <w:ind w:left="3430" w:hanging="360"/>
      </w:pPr>
    </w:lvl>
    <w:lvl w:ilvl="4">
      <w:numFmt w:val="bullet"/>
      <w:lvlText w:val="•"/>
      <w:lvlJc w:val="left"/>
      <w:pPr>
        <w:ind w:left="4300" w:hanging="360"/>
      </w:pPr>
    </w:lvl>
    <w:lvl w:ilvl="5">
      <w:numFmt w:val="bullet"/>
      <w:lvlText w:val="•"/>
      <w:lvlJc w:val="left"/>
      <w:pPr>
        <w:ind w:left="5170" w:hanging="360"/>
      </w:pPr>
    </w:lvl>
    <w:lvl w:ilvl="6">
      <w:numFmt w:val="bullet"/>
      <w:lvlText w:val="•"/>
      <w:lvlJc w:val="left"/>
      <w:pPr>
        <w:ind w:left="6040" w:hanging="360"/>
      </w:pPr>
    </w:lvl>
    <w:lvl w:ilvl="7">
      <w:numFmt w:val="bullet"/>
      <w:lvlText w:val="•"/>
      <w:lvlJc w:val="left"/>
      <w:pPr>
        <w:ind w:left="6910" w:hanging="360"/>
      </w:pPr>
    </w:lvl>
    <w:lvl w:ilvl="8">
      <w:numFmt w:val="bullet"/>
      <w:lvlText w:val="•"/>
      <w:lvlJc w:val="left"/>
      <w:pPr>
        <w:ind w:left="7780" w:hanging="360"/>
      </w:pPr>
    </w:lvl>
  </w:abstractNum>
  <w:abstractNum w:abstractNumId="7" w15:restartNumberingAfterBreak="0">
    <w:nsid w:val="11A64EA6"/>
    <w:multiLevelType w:val="hybridMultilevel"/>
    <w:tmpl w:val="1754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E2188"/>
    <w:multiLevelType w:val="multilevel"/>
    <w:tmpl w:val="00000888"/>
    <w:lvl w:ilvl="0">
      <w:numFmt w:val="bullet"/>
      <w:lvlText w:val="-"/>
      <w:lvlJc w:val="left"/>
      <w:pPr>
        <w:ind w:left="820" w:hanging="360"/>
      </w:pPr>
      <w:rPr>
        <w:rFonts w:ascii="Times New Roman" w:hAnsi="Times New Roman" w:cs="Times New Roman"/>
        <w:b w:val="0"/>
        <w:bCs w:val="0"/>
        <w:sz w:val="24"/>
        <w:szCs w:val="24"/>
      </w:rPr>
    </w:lvl>
    <w:lvl w:ilvl="1">
      <w:numFmt w:val="bullet"/>
      <w:lvlText w:val="•"/>
      <w:lvlJc w:val="left"/>
      <w:pPr>
        <w:ind w:left="1690" w:hanging="360"/>
      </w:pPr>
    </w:lvl>
    <w:lvl w:ilvl="2">
      <w:numFmt w:val="bullet"/>
      <w:lvlText w:val="•"/>
      <w:lvlJc w:val="left"/>
      <w:pPr>
        <w:ind w:left="2560" w:hanging="360"/>
      </w:pPr>
    </w:lvl>
    <w:lvl w:ilvl="3">
      <w:numFmt w:val="bullet"/>
      <w:lvlText w:val="•"/>
      <w:lvlJc w:val="left"/>
      <w:pPr>
        <w:ind w:left="3430" w:hanging="360"/>
      </w:pPr>
    </w:lvl>
    <w:lvl w:ilvl="4">
      <w:numFmt w:val="bullet"/>
      <w:lvlText w:val="•"/>
      <w:lvlJc w:val="left"/>
      <w:pPr>
        <w:ind w:left="4300" w:hanging="360"/>
      </w:pPr>
    </w:lvl>
    <w:lvl w:ilvl="5">
      <w:numFmt w:val="bullet"/>
      <w:lvlText w:val="•"/>
      <w:lvlJc w:val="left"/>
      <w:pPr>
        <w:ind w:left="5170" w:hanging="360"/>
      </w:pPr>
    </w:lvl>
    <w:lvl w:ilvl="6">
      <w:numFmt w:val="bullet"/>
      <w:lvlText w:val="•"/>
      <w:lvlJc w:val="left"/>
      <w:pPr>
        <w:ind w:left="6040" w:hanging="360"/>
      </w:pPr>
    </w:lvl>
    <w:lvl w:ilvl="7">
      <w:numFmt w:val="bullet"/>
      <w:lvlText w:val="•"/>
      <w:lvlJc w:val="left"/>
      <w:pPr>
        <w:ind w:left="6910" w:hanging="360"/>
      </w:pPr>
    </w:lvl>
    <w:lvl w:ilvl="8">
      <w:numFmt w:val="bullet"/>
      <w:lvlText w:val="•"/>
      <w:lvlJc w:val="left"/>
      <w:pPr>
        <w:ind w:left="7780" w:hanging="360"/>
      </w:pPr>
    </w:lvl>
  </w:abstractNum>
  <w:abstractNum w:abstractNumId="9" w15:restartNumberingAfterBreak="0">
    <w:nsid w:val="179A2833"/>
    <w:multiLevelType w:val="hybridMultilevel"/>
    <w:tmpl w:val="F1363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8EF306F"/>
    <w:multiLevelType w:val="hybridMultilevel"/>
    <w:tmpl w:val="877E4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2F44F2"/>
    <w:multiLevelType w:val="hybridMultilevel"/>
    <w:tmpl w:val="5316F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F4A3A"/>
    <w:multiLevelType w:val="hybridMultilevel"/>
    <w:tmpl w:val="B4524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0851270"/>
    <w:multiLevelType w:val="hybridMultilevel"/>
    <w:tmpl w:val="1C00A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CE0D3A"/>
    <w:multiLevelType w:val="hybridMultilevel"/>
    <w:tmpl w:val="507AEC9E"/>
    <w:lvl w:ilvl="0" w:tplc="089A527E">
      <w:numFmt w:val="bullet"/>
      <w:lvlText w:val=""/>
      <w:lvlJc w:val="left"/>
      <w:pPr>
        <w:ind w:left="360" w:hanging="360"/>
      </w:pPr>
      <w:rPr>
        <w:rFonts w:ascii="Symbol" w:eastAsiaTheme="minorHAnsi" w:hAnsi="Symbol" w:cstheme="minorBidi" w:hint="default"/>
        <w:color w:val="000000" w:themeColor="text1"/>
      </w:rPr>
    </w:lvl>
    <w:lvl w:ilvl="1" w:tplc="524A4070">
      <w:start w:val="1"/>
      <w:numFmt w:val="bullet"/>
      <w:lvlText w:val="o"/>
      <w:lvlJc w:val="left"/>
      <w:pPr>
        <w:ind w:left="1080" w:hanging="360"/>
      </w:pPr>
      <w:rPr>
        <w:rFonts w:ascii="Courier New" w:hAnsi="Courier New" w:cs="Courier New"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975A49"/>
    <w:multiLevelType w:val="hybridMultilevel"/>
    <w:tmpl w:val="21147F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3CBA7ECD"/>
    <w:multiLevelType w:val="hybridMultilevel"/>
    <w:tmpl w:val="C10C5B3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9440356"/>
    <w:multiLevelType w:val="hybridMultilevel"/>
    <w:tmpl w:val="131CA06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BAC4125"/>
    <w:multiLevelType w:val="hybridMultilevel"/>
    <w:tmpl w:val="EC9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DE0B8C"/>
    <w:multiLevelType w:val="hybridMultilevel"/>
    <w:tmpl w:val="B8029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287396B"/>
    <w:multiLevelType w:val="multilevel"/>
    <w:tmpl w:val="00000886"/>
    <w:lvl w:ilvl="0">
      <w:numFmt w:val="bullet"/>
      <w:lvlText w:val=""/>
      <w:lvlJc w:val="left"/>
      <w:pPr>
        <w:ind w:left="460" w:hanging="360"/>
      </w:pPr>
      <w:rPr>
        <w:rFonts w:ascii="Symbol" w:hAnsi="Symbol" w:cs="Symbol"/>
        <w:b w:val="0"/>
        <w:bCs w:val="0"/>
        <w:sz w:val="24"/>
        <w:szCs w:val="24"/>
      </w:rPr>
    </w:lvl>
    <w:lvl w:ilvl="1">
      <w:numFmt w:val="bullet"/>
      <w:lvlText w:val=""/>
      <w:lvlJc w:val="left"/>
      <w:pPr>
        <w:ind w:left="820" w:hanging="360"/>
      </w:pPr>
      <w:rPr>
        <w:rFonts w:ascii="Symbol" w:hAnsi="Symbol" w:cs="Symbol"/>
        <w:b w:val="0"/>
        <w:bCs w:val="0"/>
        <w:sz w:val="24"/>
        <w:szCs w:val="24"/>
      </w:rPr>
    </w:lvl>
    <w:lvl w:ilvl="2">
      <w:numFmt w:val="bullet"/>
      <w:lvlText w:val="•"/>
      <w:lvlJc w:val="left"/>
      <w:pPr>
        <w:ind w:left="1749" w:hanging="360"/>
      </w:pPr>
    </w:lvl>
    <w:lvl w:ilvl="3">
      <w:numFmt w:val="bullet"/>
      <w:lvlText w:val="•"/>
      <w:lvlJc w:val="left"/>
      <w:pPr>
        <w:ind w:left="2678" w:hanging="360"/>
      </w:pPr>
    </w:lvl>
    <w:lvl w:ilvl="4">
      <w:numFmt w:val="bullet"/>
      <w:lvlText w:val="•"/>
      <w:lvlJc w:val="left"/>
      <w:pPr>
        <w:ind w:left="3606" w:hanging="360"/>
      </w:pPr>
    </w:lvl>
    <w:lvl w:ilvl="5">
      <w:numFmt w:val="bullet"/>
      <w:lvlText w:val="•"/>
      <w:lvlJc w:val="left"/>
      <w:pPr>
        <w:ind w:left="4535" w:hanging="360"/>
      </w:pPr>
    </w:lvl>
    <w:lvl w:ilvl="6">
      <w:numFmt w:val="bullet"/>
      <w:lvlText w:val="•"/>
      <w:lvlJc w:val="left"/>
      <w:pPr>
        <w:ind w:left="5464" w:hanging="360"/>
      </w:pPr>
    </w:lvl>
    <w:lvl w:ilvl="7">
      <w:numFmt w:val="bullet"/>
      <w:lvlText w:val="•"/>
      <w:lvlJc w:val="left"/>
      <w:pPr>
        <w:ind w:left="6393" w:hanging="360"/>
      </w:pPr>
    </w:lvl>
    <w:lvl w:ilvl="8">
      <w:numFmt w:val="bullet"/>
      <w:lvlText w:val="•"/>
      <w:lvlJc w:val="left"/>
      <w:pPr>
        <w:ind w:left="7322" w:hanging="360"/>
      </w:pPr>
    </w:lvl>
  </w:abstractNum>
  <w:abstractNum w:abstractNumId="21" w15:restartNumberingAfterBreak="0">
    <w:nsid w:val="55D1017F"/>
    <w:multiLevelType w:val="hybridMultilevel"/>
    <w:tmpl w:val="1A488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8413B"/>
    <w:multiLevelType w:val="multilevel"/>
    <w:tmpl w:val="4A0AD4EA"/>
    <w:lvl w:ilvl="0">
      <w:start w:val="1"/>
      <w:numFmt w:val="bullet"/>
      <w:pStyle w:val="ListParagraph"/>
      <w:lvlText w:val=""/>
      <w:lvlJc w:val="left"/>
      <w:pPr>
        <w:ind w:left="820" w:hanging="360"/>
      </w:pPr>
      <w:rPr>
        <w:rFonts w:ascii="Symbol" w:hAnsi="Symbol" w:hint="default"/>
        <w:b w:val="0"/>
        <w:bCs w:val="0"/>
        <w:sz w:val="24"/>
        <w:szCs w:val="24"/>
      </w:rPr>
    </w:lvl>
    <w:lvl w:ilvl="1">
      <w:numFmt w:val="bullet"/>
      <w:lvlText w:val="•"/>
      <w:lvlJc w:val="left"/>
      <w:pPr>
        <w:ind w:left="1690" w:hanging="360"/>
      </w:pPr>
    </w:lvl>
    <w:lvl w:ilvl="2">
      <w:numFmt w:val="bullet"/>
      <w:lvlText w:val="•"/>
      <w:lvlJc w:val="left"/>
      <w:pPr>
        <w:ind w:left="2560" w:hanging="360"/>
      </w:pPr>
    </w:lvl>
    <w:lvl w:ilvl="3">
      <w:numFmt w:val="bullet"/>
      <w:lvlText w:val="•"/>
      <w:lvlJc w:val="left"/>
      <w:pPr>
        <w:ind w:left="3430" w:hanging="360"/>
      </w:pPr>
    </w:lvl>
    <w:lvl w:ilvl="4">
      <w:numFmt w:val="bullet"/>
      <w:lvlText w:val="•"/>
      <w:lvlJc w:val="left"/>
      <w:pPr>
        <w:ind w:left="4300" w:hanging="360"/>
      </w:pPr>
    </w:lvl>
    <w:lvl w:ilvl="5">
      <w:numFmt w:val="bullet"/>
      <w:lvlText w:val="•"/>
      <w:lvlJc w:val="left"/>
      <w:pPr>
        <w:ind w:left="5170" w:hanging="360"/>
      </w:pPr>
    </w:lvl>
    <w:lvl w:ilvl="6">
      <w:numFmt w:val="bullet"/>
      <w:lvlText w:val="•"/>
      <w:lvlJc w:val="left"/>
      <w:pPr>
        <w:ind w:left="6040" w:hanging="360"/>
      </w:pPr>
    </w:lvl>
    <w:lvl w:ilvl="7">
      <w:numFmt w:val="bullet"/>
      <w:lvlText w:val="•"/>
      <w:lvlJc w:val="left"/>
      <w:pPr>
        <w:ind w:left="6910" w:hanging="360"/>
      </w:pPr>
    </w:lvl>
    <w:lvl w:ilvl="8">
      <w:numFmt w:val="bullet"/>
      <w:lvlText w:val="•"/>
      <w:lvlJc w:val="left"/>
      <w:pPr>
        <w:ind w:left="7780" w:hanging="360"/>
      </w:pPr>
    </w:lvl>
  </w:abstractNum>
  <w:abstractNum w:abstractNumId="23" w15:restartNumberingAfterBreak="0">
    <w:nsid w:val="58A86482"/>
    <w:multiLevelType w:val="hybridMultilevel"/>
    <w:tmpl w:val="05AE43C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5908607B"/>
    <w:multiLevelType w:val="multilevel"/>
    <w:tmpl w:val="0DC21F00"/>
    <w:styleLink w:val="StyleBulletedSymbolsymbolLeft0Hanging025"/>
    <w:lvl w:ilvl="0">
      <w:start w:val="1"/>
      <w:numFmt w:val="bullet"/>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B145C78"/>
    <w:multiLevelType w:val="hybridMultilevel"/>
    <w:tmpl w:val="6778CC4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6" w15:restartNumberingAfterBreak="0">
    <w:nsid w:val="5F1906DF"/>
    <w:multiLevelType w:val="hybridMultilevel"/>
    <w:tmpl w:val="EEA60702"/>
    <w:lvl w:ilvl="0" w:tplc="E4DE9A5A">
      <w:numFmt w:val="bullet"/>
      <w:lvlText w:val="-"/>
      <w:lvlJc w:val="left"/>
      <w:pPr>
        <w:ind w:left="1080" w:hanging="360"/>
      </w:pPr>
      <w:rPr>
        <w:rFonts w:ascii="Arial" w:eastAsiaTheme="minorEastAsia" w:hAnsi="Arial" w:cs="Arial" w:hint="default"/>
      </w:rPr>
    </w:lvl>
    <w:lvl w:ilvl="1" w:tplc="E4DE9A5A">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FB30434"/>
    <w:multiLevelType w:val="multilevel"/>
    <w:tmpl w:val="0DC21F00"/>
    <w:numStyleLink w:val="StyleBulletedSymbolsymbolLeft0Hanging025"/>
  </w:abstractNum>
  <w:abstractNum w:abstractNumId="28" w15:restartNumberingAfterBreak="0">
    <w:nsid w:val="717D291C"/>
    <w:multiLevelType w:val="multilevel"/>
    <w:tmpl w:val="E1D401F0"/>
    <w:lvl w:ilvl="0">
      <w:start w:val="1"/>
      <w:numFmt w:val="bullet"/>
      <w:lvlText w:val=""/>
      <w:lvlJc w:val="left"/>
      <w:pPr>
        <w:ind w:left="820" w:hanging="360"/>
      </w:pPr>
      <w:rPr>
        <w:rFonts w:ascii="Symbol" w:hAnsi="Symbol" w:hint="default"/>
        <w:b w:val="0"/>
        <w:bCs w:val="0"/>
        <w:sz w:val="24"/>
        <w:szCs w:val="24"/>
      </w:rPr>
    </w:lvl>
    <w:lvl w:ilvl="1">
      <w:numFmt w:val="bullet"/>
      <w:lvlText w:val="•"/>
      <w:lvlJc w:val="left"/>
      <w:pPr>
        <w:ind w:left="1690" w:hanging="360"/>
      </w:pPr>
    </w:lvl>
    <w:lvl w:ilvl="2">
      <w:numFmt w:val="bullet"/>
      <w:lvlText w:val="•"/>
      <w:lvlJc w:val="left"/>
      <w:pPr>
        <w:ind w:left="2560" w:hanging="360"/>
      </w:pPr>
    </w:lvl>
    <w:lvl w:ilvl="3">
      <w:numFmt w:val="bullet"/>
      <w:lvlText w:val="•"/>
      <w:lvlJc w:val="left"/>
      <w:pPr>
        <w:ind w:left="3430" w:hanging="360"/>
      </w:pPr>
    </w:lvl>
    <w:lvl w:ilvl="4">
      <w:numFmt w:val="bullet"/>
      <w:lvlText w:val="•"/>
      <w:lvlJc w:val="left"/>
      <w:pPr>
        <w:ind w:left="4300" w:hanging="360"/>
      </w:pPr>
    </w:lvl>
    <w:lvl w:ilvl="5">
      <w:numFmt w:val="bullet"/>
      <w:lvlText w:val="•"/>
      <w:lvlJc w:val="left"/>
      <w:pPr>
        <w:ind w:left="5170" w:hanging="360"/>
      </w:pPr>
    </w:lvl>
    <w:lvl w:ilvl="6">
      <w:numFmt w:val="bullet"/>
      <w:lvlText w:val="•"/>
      <w:lvlJc w:val="left"/>
      <w:pPr>
        <w:ind w:left="6040" w:hanging="360"/>
      </w:pPr>
    </w:lvl>
    <w:lvl w:ilvl="7">
      <w:numFmt w:val="bullet"/>
      <w:lvlText w:val="•"/>
      <w:lvlJc w:val="left"/>
      <w:pPr>
        <w:ind w:left="6910" w:hanging="360"/>
      </w:pPr>
    </w:lvl>
    <w:lvl w:ilvl="8">
      <w:numFmt w:val="bullet"/>
      <w:lvlText w:val="•"/>
      <w:lvlJc w:val="left"/>
      <w:pPr>
        <w:ind w:left="7780" w:hanging="360"/>
      </w:pPr>
    </w:lvl>
  </w:abstractNum>
  <w:abstractNum w:abstractNumId="29" w15:restartNumberingAfterBreak="0">
    <w:nsid w:val="721E2CA3"/>
    <w:multiLevelType w:val="hybridMultilevel"/>
    <w:tmpl w:val="6DA27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348C6"/>
    <w:multiLevelType w:val="hybridMultilevel"/>
    <w:tmpl w:val="F4F4BA7E"/>
    <w:lvl w:ilvl="0" w:tplc="06A0935E">
      <w:start w:val="1"/>
      <w:numFmt w:val="decimal"/>
      <w:lvlText w:val="%1."/>
      <w:lvlJc w:val="left"/>
      <w:pPr>
        <w:ind w:left="921" w:hanging="360"/>
      </w:pPr>
      <w:rPr>
        <w:rFonts w:cs="Times New Roman" w:hint="default"/>
      </w:rPr>
    </w:lvl>
    <w:lvl w:ilvl="1" w:tplc="04090019">
      <w:start w:val="1"/>
      <w:numFmt w:val="lowerLetter"/>
      <w:lvlText w:val="%2."/>
      <w:lvlJc w:val="left"/>
      <w:pPr>
        <w:ind w:left="1641" w:hanging="360"/>
      </w:pPr>
      <w:rPr>
        <w:rFonts w:cs="Times New Roman"/>
      </w:rPr>
    </w:lvl>
    <w:lvl w:ilvl="2" w:tplc="0409001B" w:tentative="1">
      <w:start w:val="1"/>
      <w:numFmt w:val="lowerRoman"/>
      <w:lvlText w:val="%3."/>
      <w:lvlJc w:val="right"/>
      <w:pPr>
        <w:ind w:left="2361" w:hanging="180"/>
      </w:pPr>
      <w:rPr>
        <w:rFonts w:cs="Times New Roman"/>
      </w:rPr>
    </w:lvl>
    <w:lvl w:ilvl="3" w:tplc="0409000F" w:tentative="1">
      <w:start w:val="1"/>
      <w:numFmt w:val="decimal"/>
      <w:lvlText w:val="%4."/>
      <w:lvlJc w:val="left"/>
      <w:pPr>
        <w:ind w:left="3081" w:hanging="360"/>
      </w:pPr>
      <w:rPr>
        <w:rFonts w:cs="Times New Roman"/>
      </w:rPr>
    </w:lvl>
    <w:lvl w:ilvl="4" w:tplc="04090019" w:tentative="1">
      <w:start w:val="1"/>
      <w:numFmt w:val="lowerLetter"/>
      <w:lvlText w:val="%5."/>
      <w:lvlJc w:val="left"/>
      <w:pPr>
        <w:ind w:left="3801" w:hanging="360"/>
      </w:pPr>
      <w:rPr>
        <w:rFonts w:cs="Times New Roman"/>
      </w:rPr>
    </w:lvl>
    <w:lvl w:ilvl="5" w:tplc="0409001B" w:tentative="1">
      <w:start w:val="1"/>
      <w:numFmt w:val="lowerRoman"/>
      <w:lvlText w:val="%6."/>
      <w:lvlJc w:val="right"/>
      <w:pPr>
        <w:ind w:left="4521" w:hanging="180"/>
      </w:pPr>
      <w:rPr>
        <w:rFonts w:cs="Times New Roman"/>
      </w:rPr>
    </w:lvl>
    <w:lvl w:ilvl="6" w:tplc="0409000F" w:tentative="1">
      <w:start w:val="1"/>
      <w:numFmt w:val="decimal"/>
      <w:lvlText w:val="%7."/>
      <w:lvlJc w:val="left"/>
      <w:pPr>
        <w:ind w:left="5241" w:hanging="360"/>
      </w:pPr>
      <w:rPr>
        <w:rFonts w:cs="Times New Roman"/>
      </w:rPr>
    </w:lvl>
    <w:lvl w:ilvl="7" w:tplc="04090019" w:tentative="1">
      <w:start w:val="1"/>
      <w:numFmt w:val="lowerLetter"/>
      <w:lvlText w:val="%8."/>
      <w:lvlJc w:val="left"/>
      <w:pPr>
        <w:ind w:left="5961" w:hanging="360"/>
      </w:pPr>
      <w:rPr>
        <w:rFonts w:cs="Times New Roman"/>
      </w:rPr>
    </w:lvl>
    <w:lvl w:ilvl="8" w:tplc="0409001B" w:tentative="1">
      <w:start w:val="1"/>
      <w:numFmt w:val="lowerRoman"/>
      <w:lvlText w:val="%9."/>
      <w:lvlJc w:val="right"/>
      <w:pPr>
        <w:ind w:left="6681" w:hanging="180"/>
      </w:pPr>
      <w:rPr>
        <w:rFonts w:cs="Times New Roman"/>
      </w:rPr>
    </w:lvl>
  </w:abstractNum>
  <w:abstractNum w:abstractNumId="31" w15:restartNumberingAfterBreak="0">
    <w:nsid w:val="798247AD"/>
    <w:multiLevelType w:val="hybridMultilevel"/>
    <w:tmpl w:val="D970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4"/>
  </w:num>
  <w:num w:numId="8">
    <w:abstractNumId w:val="27"/>
  </w:num>
  <w:num w:numId="9">
    <w:abstractNumId w:val="18"/>
  </w:num>
  <w:num w:numId="10">
    <w:abstractNumId w:val="20"/>
  </w:num>
  <w:num w:numId="11">
    <w:abstractNumId w:val="8"/>
  </w:num>
  <w:num w:numId="12">
    <w:abstractNumId w:val="22"/>
  </w:num>
  <w:num w:numId="13">
    <w:abstractNumId w:val="22"/>
  </w:num>
  <w:num w:numId="14">
    <w:abstractNumId w:val="22"/>
  </w:num>
  <w:num w:numId="15">
    <w:abstractNumId w:val="3"/>
  </w:num>
  <w:num w:numId="16">
    <w:abstractNumId w:val="10"/>
  </w:num>
  <w:num w:numId="17">
    <w:abstractNumId w:val="22"/>
  </w:num>
  <w:num w:numId="18">
    <w:abstractNumId w:val="14"/>
  </w:num>
  <w:num w:numId="19">
    <w:abstractNumId w:val="22"/>
  </w:num>
  <w:num w:numId="20">
    <w:abstractNumId w:val="3"/>
  </w:num>
  <w:num w:numId="21">
    <w:abstractNumId w:val="22"/>
  </w:num>
  <w:num w:numId="22">
    <w:abstractNumId w:val="3"/>
  </w:num>
  <w:num w:numId="23">
    <w:abstractNumId w:val="3"/>
  </w:num>
  <w:num w:numId="24">
    <w:abstractNumId w:val="30"/>
  </w:num>
  <w:num w:numId="25">
    <w:abstractNumId w:val="22"/>
  </w:num>
  <w:num w:numId="26">
    <w:abstractNumId w:val="9"/>
  </w:num>
  <w:num w:numId="27">
    <w:abstractNumId w:val="22"/>
  </w:num>
  <w:num w:numId="28">
    <w:abstractNumId w:val="12"/>
  </w:num>
  <w:num w:numId="29">
    <w:abstractNumId w:val="11"/>
  </w:num>
  <w:num w:numId="30">
    <w:abstractNumId w:val="29"/>
  </w:num>
  <w:num w:numId="31">
    <w:abstractNumId w:val="13"/>
  </w:num>
  <w:num w:numId="32">
    <w:abstractNumId w:val="22"/>
  </w:num>
  <w:num w:numId="33">
    <w:abstractNumId w:val="28"/>
  </w:num>
  <w:num w:numId="34">
    <w:abstractNumId w:val="6"/>
  </w:num>
  <w:num w:numId="35">
    <w:abstractNumId w:val="17"/>
  </w:num>
  <w:num w:numId="36">
    <w:abstractNumId w:val="19"/>
  </w:num>
  <w:num w:numId="37">
    <w:abstractNumId w:val="17"/>
  </w:num>
  <w:num w:numId="38">
    <w:abstractNumId w:val="26"/>
  </w:num>
  <w:num w:numId="39">
    <w:abstractNumId w:val="16"/>
  </w:num>
  <w:num w:numId="40">
    <w:abstractNumId w:val="15"/>
  </w:num>
  <w:num w:numId="41">
    <w:abstractNumId w:val="23"/>
  </w:num>
  <w:num w:numId="42">
    <w:abstractNumId w:val="31"/>
  </w:num>
  <w:num w:numId="43">
    <w:abstractNumId w:val="7"/>
  </w:num>
  <w:num w:numId="44">
    <w:abstractNumId w:val="25"/>
  </w:num>
  <w:num w:numId="45">
    <w:abstractNumId w:val="21"/>
  </w:num>
  <w:num w:numId="46">
    <w:abstractNumId w:val="22"/>
  </w:num>
  <w:num w:numId="47">
    <w:abstractNumId w:val="22"/>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zsLC0NDaztDQyNbVU0lEKTi0uzszPAykwMq8FAEO8Iv4tAAAA"/>
  </w:docVars>
  <w:rsids>
    <w:rsidRoot w:val="00EB500D"/>
    <w:rsid w:val="00002148"/>
    <w:rsid w:val="000057A0"/>
    <w:rsid w:val="0000645A"/>
    <w:rsid w:val="0000702E"/>
    <w:rsid w:val="00012DE5"/>
    <w:rsid w:val="0001327E"/>
    <w:rsid w:val="00015CC3"/>
    <w:rsid w:val="000173AF"/>
    <w:rsid w:val="00020710"/>
    <w:rsid w:val="00024470"/>
    <w:rsid w:val="00024BD3"/>
    <w:rsid w:val="00027457"/>
    <w:rsid w:val="00027F5D"/>
    <w:rsid w:val="000340F2"/>
    <w:rsid w:val="000352EF"/>
    <w:rsid w:val="00037754"/>
    <w:rsid w:val="00046761"/>
    <w:rsid w:val="000506C7"/>
    <w:rsid w:val="0005292E"/>
    <w:rsid w:val="00053971"/>
    <w:rsid w:val="000553D7"/>
    <w:rsid w:val="00057319"/>
    <w:rsid w:val="00057340"/>
    <w:rsid w:val="0005799D"/>
    <w:rsid w:val="000659E9"/>
    <w:rsid w:val="00065F59"/>
    <w:rsid w:val="000701AB"/>
    <w:rsid w:val="0007220E"/>
    <w:rsid w:val="00073316"/>
    <w:rsid w:val="0007555D"/>
    <w:rsid w:val="0007680A"/>
    <w:rsid w:val="00077B1D"/>
    <w:rsid w:val="00083D50"/>
    <w:rsid w:val="0008451C"/>
    <w:rsid w:val="0009400C"/>
    <w:rsid w:val="00097689"/>
    <w:rsid w:val="000A4AE3"/>
    <w:rsid w:val="000A5379"/>
    <w:rsid w:val="000A7181"/>
    <w:rsid w:val="000B0EED"/>
    <w:rsid w:val="000B2DE7"/>
    <w:rsid w:val="000B32A6"/>
    <w:rsid w:val="000B5193"/>
    <w:rsid w:val="000B727B"/>
    <w:rsid w:val="000C1820"/>
    <w:rsid w:val="000C3227"/>
    <w:rsid w:val="000C3E87"/>
    <w:rsid w:val="000C524E"/>
    <w:rsid w:val="000C7023"/>
    <w:rsid w:val="000D2A25"/>
    <w:rsid w:val="000D43BB"/>
    <w:rsid w:val="000E35E9"/>
    <w:rsid w:val="000E3F17"/>
    <w:rsid w:val="000E6FF4"/>
    <w:rsid w:val="000F0901"/>
    <w:rsid w:val="000F23F2"/>
    <w:rsid w:val="000F2732"/>
    <w:rsid w:val="00100E18"/>
    <w:rsid w:val="00101965"/>
    <w:rsid w:val="001019B5"/>
    <w:rsid w:val="00103591"/>
    <w:rsid w:val="00107702"/>
    <w:rsid w:val="00112631"/>
    <w:rsid w:val="00113006"/>
    <w:rsid w:val="001143D1"/>
    <w:rsid w:val="001158C5"/>
    <w:rsid w:val="00116064"/>
    <w:rsid w:val="00117FC1"/>
    <w:rsid w:val="00125D1C"/>
    <w:rsid w:val="001263AF"/>
    <w:rsid w:val="0013000E"/>
    <w:rsid w:val="00130D51"/>
    <w:rsid w:val="00131566"/>
    <w:rsid w:val="001316D6"/>
    <w:rsid w:val="00132D46"/>
    <w:rsid w:val="00136087"/>
    <w:rsid w:val="001409E9"/>
    <w:rsid w:val="00141B24"/>
    <w:rsid w:val="00143209"/>
    <w:rsid w:val="00143FA0"/>
    <w:rsid w:val="00144C04"/>
    <w:rsid w:val="00145094"/>
    <w:rsid w:val="0014518B"/>
    <w:rsid w:val="001459AE"/>
    <w:rsid w:val="00147540"/>
    <w:rsid w:val="001505BD"/>
    <w:rsid w:val="00150960"/>
    <w:rsid w:val="00151019"/>
    <w:rsid w:val="00156230"/>
    <w:rsid w:val="00165E8D"/>
    <w:rsid w:val="00165F09"/>
    <w:rsid w:val="00173204"/>
    <w:rsid w:val="0018087F"/>
    <w:rsid w:val="0018277B"/>
    <w:rsid w:val="001831C8"/>
    <w:rsid w:val="00184807"/>
    <w:rsid w:val="00185339"/>
    <w:rsid w:val="0018626D"/>
    <w:rsid w:val="00190C73"/>
    <w:rsid w:val="0019267B"/>
    <w:rsid w:val="0019346D"/>
    <w:rsid w:val="001936E7"/>
    <w:rsid w:val="0019517D"/>
    <w:rsid w:val="00195E07"/>
    <w:rsid w:val="00196443"/>
    <w:rsid w:val="001A01C3"/>
    <w:rsid w:val="001A1019"/>
    <w:rsid w:val="001A1EBD"/>
    <w:rsid w:val="001A428B"/>
    <w:rsid w:val="001A4587"/>
    <w:rsid w:val="001A5318"/>
    <w:rsid w:val="001A565D"/>
    <w:rsid w:val="001A7080"/>
    <w:rsid w:val="001B5B4D"/>
    <w:rsid w:val="001B6153"/>
    <w:rsid w:val="001B7364"/>
    <w:rsid w:val="001C14EA"/>
    <w:rsid w:val="001C1A94"/>
    <w:rsid w:val="001C4FFF"/>
    <w:rsid w:val="001D417F"/>
    <w:rsid w:val="001D7744"/>
    <w:rsid w:val="001D7783"/>
    <w:rsid w:val="001E1585"/>
    <w:rsid w:val="001E3A2E"/>
    <w:rsid w:val="001E40CA"/>
    <w:rsid w:val="001E4336"/>
    <w:rsid w:val="001E54BF"/>
    <w:rsid w:val="001E69E6"/>
    <w:rsid w:val="001E73F6"/>
    <w:rsid w:val="001E7416"/>
    <w:rsid w:val="001F0009"/>
    <w:rsid w:val="00200886"/>
    <w:rsid w:val="00201F9E"/>
    <w:rsid w:val="00203D09"/>
    <w:rsid w:val="002051DD"/>
    <w:rsid w:val="00206595"/>
    <w:rsid w:val="002112D9"/>
    <w:rsid w:val="002203FA"/>
    <w:rsid w:val="0022412B"/>
    <w:rsid w:val="002243BE"/>
    <w:rsid w:val="002244FD"/>
    <w:rsid w:val="00224A0F"/>
    <w:rsid w:val="00235107"/>
    <w:rsid w:val="0023577E"/>
    <w:rsid w:val="00236336"/>
    <w:rsid w:val="002451F7"/>
    <w:rsid w:val="00245BF5"/>
    <w:rsid w:val="0025067A"/>
    <w:rsid w:val="00250D7A"/>
    <w:rsid w:val="002543FA"/>
    <w:rsid w:val="00255B3E"/>
    <w:rsid w:val="0025717B"/>
    <w:rsid w:val="002600E7"/>
    <w:rsid w:val="0026104A"/>
    <w:rsid w:val="002651DF"/>
    <w:rsid w:val="0027073A"/>
    <w:rsid w:val="00272BFC"/>
    <w:rsid w:val="00273E4C"/>
    <w:rsid w:val="002745C5"/>
    <w:rsid w:val="002769CB"/>
    <w:rsid w:val="002814FB"/>
    <w:rsid w:val="00285E97"/>
    <w:rsid w:val="00285FE7"/>
    <w:rsid w:val="00286B3B"/>
    <w:rsid w:val="00290FD3"/>
    <w:rsid w:val="00292BB3"/>
    <w:rsid w:val="00292F2C"/>
    <w:rsid w:val="00297C90"/>
    <w:rsid w:val="002A0198"/>
    <w:rsid w:val="002A02C9"/>
    <w:rsid w:val="002A0433"/>
    <w:rsid w:val="002A0651"/>
    <w:rsid w:val="002A0BC3"/>
    <w:rsid w:val="002A1C37"/>
    <w:rsid w:val="002A2716"/>
    <w:rsid w:val="002A7C81"/>
    <w:rsid w:val="002B0B2C"/>
    <w:rsid w:val="002B34A1"/>
    <w:rsid w:val="002B3D4A"/>
    <w:rsid w:val="002B5D47"/>
    <w:rsid w:val="002C06C5"/>
    <w:rsid w:val="002C251A"/>
    <w:rsid w:val="002C35A8"/>
    <w:rsid w:val="002C4E32"/>
    <w:rsid w:val="002D1241"/>
    <w:rsid w:val="002D2602"/>
    <w:rsid w:val="002D383A"/>
    <w:rsid w:val="002D7C20"/>
    <w:rsid w:val="002E2471"/>
    <w:rsid w:val="002E2C29"/>
    <w:rsid w:val="002E4D21"/>
    <w:rsid w:val="002E62E9"/>
    <w:rsid w:val="002F115F"/>
    <w:rsid w:val="002F2B2E"/>
    <w:rsid w:val="00300B1D"/>
    <w:rsid w:val="003030B6"/>
    <w:rsid w:val="00303EAA"/>
    <w:rsid w:val="00304A06"/>
    <w:rsid w:val="00306073"/>
    <w:rsid w:val="003113E2"/>
    <w:rsid w:val="00314717"/>
    <w:rsid w:val="003156CD"/>
    <w:rsid w:val="0031643F"/>
    <w:rsid w:val="00316EA7"/>
    <w:rsid w:val="00321CE4"/>
    <w:rsid w:val="00325A78"/>
    <w:rsid w:val="003327BE"/>
    <w:rsid w:val="003327CC"/>
    <w:rsid w:val="00333999"/>
    <w:rsid w:val="00336515"/>
    <w:rsid w:val="0033688B"/>
    <w:rsid w:val="00340213"/>
    <w:rsid w:val="00343967"/>
    <w:rsid w:val="00343CFA"/>
    <w:rsid w:val="003447D4"/>
    <w:rsid w:val="00345EC2"/>
    <w:rsid w:val="00346DEB"/>
    <w:rsid w:val="00350578"/>
    <w:rsid w:val="00354D70"/>
    <w:rsid w:val="00355CC0"/>
    <w:rsid w:val="00360968"/>
    <w:rsid w:val="00361AE2"/>
    <w:rsid w:val="00361C02"/>
    <w:rsid w:val="003642D8"/>
    <w:rsid w:val="00365155"/>
    <w:rsid w:val="00372404"/>
    <w:rsid w:val="00373B35"/>
    <w:rsid w:val="00384AB5"/>
    <w:rsid w:val="00386BC3"/>
    <w:rsid w:val="00393139"/>
    <w:rsid w:val="003943C5"/>
    <w:rsid w:val="003948B1"/>
    <w:rsid w:val="003A248D"/>
    <w:rsid w:val="003A24EF"/>
    <w:rsid w:val="003A29AA"/>
    <w:rsid w:val="003A3338"/>
    <w:rsid w:val="003A696A"/>
    <w:rsid w:val="003B2532"/>
    <w:rsid w:val="003B3171"/>
    <w:rsid w:val="003B3678"/>
    <w:rsid w:val="003B57B4"/>
    <w:rsid w:val="003B5D3B"/>
    <w:rsid w:val="003C062B"/>
    <w:rsid w:val="003C3BE7"/>
    <w:rsid w:val="003D43C3"/>
    <w:rsid w:val="003E00B4"/>
    <w:rsid w:val="003E18E6"/>
    <w:rsid w:val="003E3E4D"/>
    <w:rsid w:val="003F435B"/>
    <w:rsid w:val="003F457E"/>
    <w:rsid w:val="003F5FE0"/>
    <w:rsid w:val="00400F29"/>
    <w:rsid w:val="00401207"/>
    <w:rsid w:val="004013D4"/>
    <w:rsid w:val="00402065"/>
    <w:rsid w:val="00404618"/>
    <w:rsid w:val="00407322"/>
    <w:rsid w:val="0040733F"/>
    <w:rsid w:val="00421672"/>
    <w:rsid w:val="0042322E"/>
    <w:rsid w:val="0042524E"/>
    <w:rsid w:val="00443E9A"/>
    <w:rsid w:val="00444D79"/>
    <w:rsid w:val="00446980"/>
    <w:rsid w:val="0045060A"/>
    <w:rsid w:val="004546E0"/>
    <w:rsid w:val="00455C84"/>
    <w:rsid w:val="00460744"/>
    <w:rsid w:val="004609C3"/>
    <w:rsid w:val="00461282"/>
    <w:rsid w:val="00464415"/>
    <w:rsid w:val="00464A90"/>
    <w:rsid w:val="00465A29"/>
    <w:rsid w:val="004662F5"/>
    <w:rsid w:val="00471C00"/>
    <w:rsid w:val="0047678E"/>
    <w:rsid w:val="00481437"/>
    <w:rsid w:val="00484E56"/>
    <w:rsid w:val="00484F57"/>
    <w:rsid w:val="00486EC3"/>
    <w:rsid w:val="0049127A"/>
    <w:rsid w:val="00491C83"/>
    <w:rsid w:val="00492235"/>
    <w:rsid w:val="0049285C"/>
    <w:rsid w:val="004928B6"/>
    <w:rsid w:val="0049327F"/>
    <w:rsid w:val="004A39A9"/>
    <w:rsid w:val="004A6D9C"/>
    <w:rsid w:val="004B1DF0"/>
    <w:rsid w:val="004B24C2"/>
    <w:rsid w:val="004B2B89"/>
    <w:rsid w:val="004B4982"/>
    <w:rsid w:val="004C0685"/>
    <w:rsid w:val="004C1311"/>
    <w:rsid w:val="004C159F"/>
    <w:rsid w:val="004C1F40"/>
    <w:rsid w:val="004C376C"/>
    <w:rsid w:val="004C4FE7"/>
    <w:rsid w:val="004C5974"/>
    <w:rsid w:val="004D0755"/>
    <w:rsid w:val="004D0C1B"/>
    <w:rsid w:val="004D44E0"/>
    <w:rsid w:val="004E07A3"/>
    <w:rsid w:val="004E0FFA"/>
    <w:rsid w:val="004E34D2"/>
    <w:rsid w:val="004E3E89"/>
    <w:rsid w:val="004E4AA9"/>
    <w:rsid w:val="004E4F98"/>
    <w:rsid w:val="004E5EC5"/>
    <w:rsid w:val="004F1D37"/>
    <w:rsid w:val="004F31AD"/>
    <w:rsid w:val="004F3A9A"/>
    <w:rsid w:val="004F4FC6"/>
    <w:rsid w:val="00500151"/>
    <w:rsid w:val="00503440"/>
    <w:rsid w:val="00507ED8"/>
    <w:rsid w:val="00510A51"/>
    <w:rsid w:val="0051130A"/>
    <w:rsid w:val="0051142E"/>
    <w:rsid w:val="00513384"/>
    <w:rsid w:val="00515F22"/>
    <w:rsid w:val="00517A85"/>
    <w:rsid w:val="005218D2"/>
    <w:rsid w:val="00532A3B"/>
    <w:rsid w:val="005345D3"/>
    <w:rsid w:val="005416E1"/>
    <w:rsid w:val="0054178A"/>
    <w:rsid w:val="00541947"/>
    <w:rsid w:val="005451D8"/>
    <w:rsid w:val="00547E33"/>
    <w:rsid w:val="00553405"/>
    <w:rsid w:val="00557403"/>
    <w:rsid w:val="005624B8"/>
    <w:rsid w:val="00564B96"/>
    <w:rsid w:val="00565AC4"/>
    <w:rsid w:val="00567A9E"/>
    <w:rsid w:val="005A095F"/>
    <w:rsid w:val="005A1F5B"/>
    <w:rsid w:val="005A525D"/>
    <w:rsid w:val="005A5621"/>
    <w:rsid w:val="005A6524"/>
    <w:rsid w:val="005A7F2F"/>
    <w:rsid w:val="005B0A36"/>
    <w:rsid w:val="005B547B"/>
    <w:rsid w:val="005B7E90"/>
    <w:rsid w:val="005C0A37"/>
    <w:rsid w:val="005C557A"/>
    <w:rsid w:val="005D1DD6"/>
    <w:rsid w:val="005D3516"/>
    <w:rsid w:val="005D4185"/>
    <w:rsid w:val="005D515B"/>
    <w:rsid w:val="005D58D9"/>
    <w:rsid w:val="005D619C"/>
    <w:rsid w:val="005D6E21"/>
    <w:rsid w:val="005E0AE9"/>
    <w:rsid w:val="005E0B28"/>
    <w:rsid w:val="005F0520"/>
    <w:rsid w:val="005F7E18"/>
    <w:rsid w:val="005F7E52"/>
    <w:rsid w:val="00600ED9"/>
    <w:rsid w:val="0060373D"/>
    <w:rsid w:val="00604993"/>
    <w:rsid w:val="00604B8E"/>
    <w:rsid w:val="006067F1"/>
    <w:rsid w:val="00610B4D"/>
    <w:rsid w:val="00612D18"/>
    <w:rsid w:val="00613F84"/>
    <w:rsid w:val="00614418"/>
    <w:rsid w:val="0061484A"/>
    <w:rsid w:val="00615B06"/>
    <w:rsid w:val="00620331"/>
    <w:rsid w:val="00621CF6"/>
    <w:rsid w:val="00621E10"/>
    <w:rsid w:val="0062237E"/>
    <w:rsid w:val="00625C61"/>
    <w:rsid w:val="0063079C"/>
    <w:rsid w:val="00631C4F"/>
    <w:rsid w:val="00631F9B"/>
    <w:rsid w:val="00636FE2"/>
    <w:rsid w:val="006401D0"/>
    <w:rsid w:val="0064393A"/>
    <w:rsid w:val="00646A8A"/>
    <w:rsid w:val="00655C01"/>
    <w:rsid w:val="00656504"/>
    <w:rsid w:val="00660CBD"/>
    <w:rsid w:val="00661E39"/>
    <w:rsid w:val="006656DE"/>
    <w:rsid w:val="006724EE"/>
    <w:rsid w:val="0067273B"/>
    <w:rsid w:val="0067644F"/>
    <w:rsid w:val="006775BE"/>
    <w:rsid w:val="00687761"/>
    <w:rsid w:val="00690CD3"/>
    <w:rsid w:val="00691003"/>
    <w:rsid w:val="006929CE"/>
    <w:rsid w:val="00694E5A"/>
    <w:rsid w:val="0069595B"/>
    <w:rsid w:val="006A4787"/>
    <w:rsid w:val="006A6A59"/>
    <w:rsid w:val="006B1B45"/>
    <w:rsid w:val="006B1EBE"/>
    <w:rsid w:val="006B2C6D"/>
    <w:rsid w:val="006B3704"/>
    <w:rsid w:val="006B4C7E"/>
    <w:rsid w:val="006C510B"/>
    <w:rsid w:val="006C537C"/>
    <w:rsid w:val="006C53E2"/>
    <w:rsid w:val="006D48DB"/>
    <w:rsid w:val="006E6381"/>
    <w:rsid w:val="006F05C6"/>
    <w:rsid w:val="006F5CE2"/>
    <w:rsid w:val="007029DA"/>
    <w:rsid w:val="00706E5F"/>
    <w:rsid w:val="00713225"/>
    <w:rsid w:val="00714683"/>
    <w:rsid w:val="00714ABB"/>
    <w:rsid w:val="00723A93"/>
    <w:rsid w:val="0072421C"/>
    <w:rsid w:val="00725E51"/>
    <w:rsid w:val="00725F40"/>
    <w:rsid w:val="0072636A"/>
    <w:rsid w:val="007272BE"/>
    <w:rsid w:val="0072754E"/>
    <w:rsid w:val="00735A46"/>
    <w:rsid w:val="007361A0"/>
    <w:rsid w:val="00741E68"/>
    <w:rsid w:val="007421D1"/>
    <w:rsid w:val="00743240"/>
    <w:rsid w:val="007440ED"/>
    <w:rsid w:val="00745E5D"/>
    <w:rsid w:val="007517CE"/>
    <w:rsid w:val="007523CB"/>
    <w:rsid w:val="00756D43"/>
    <w:rsid w:val="007572CE"/>
    <w:rsid w:val="00757DD1"/>
    <w:rsid w:val="00760234"/>
    <w:rsid w:val="00761392"/>
    <w:rsid w:val="00761BA2"/>
    <w:rsid w:val="007621D4"/>
    <w:rsid w:val="00764392"/>
    <w:rsid w:val="0076506C"/>
    <w:rsid w:val="00767044"/>
    <w:rsid w:val="007672DA"/>
    <w:rsid w:val="0077055C"/>
    <w:rsid w:val="00771442"/>
    <w:rsid w:val="007718F3"/>
    <w:rsid w:val="0078147F"/>
    <w:rsid w:val="00782A11"/>
    <w:rsid w:val="00782F72"/>
    <w:rsid w:val="00792451"/>
    <w:rsid w:val="00792ED5"/>
    <w:rsid w:val="00794096"/>
    <w:rsid w:val="007953B3"/>
    <w:rsid w:val="007978F7"/>
    <w:rsid w:val="007A0143"/>
    <w:rsid w:val="007A23C3"/>
    <w:rsid w:val="007A3F86"/>
    <w:rsid w:val="007B07CD"/>
    <w:rsid w:val="007B0A94"/>
    <w:rsid w:val="007B6B72"/>
    <w:rsid w:val="007C28D6"/>
    <w:rsid w:val="007C6794"/>
    <w:rsid w:val="007D26E5"/>
    <w:rsid w:val="007D55C7"/>
    <w:rsid w:val="007D7E19"/>
    <w:rsid w:val="007E3048"/>
    <w:rsid w:val="007E5046"/>
    <w:rsid w:val="007E52E4"/>
    <w:rsid w:val="007E53FE"/>
    <w:rsid w:val="007E73F2"/>
    <w:rsid w:val="007F3535"/>
    <w:rsid w:val="007F37C1"/>
    <w:rsid w:val="007F43BF"/>
    <w:rsid w:val="007F49EF"/>
    <w:rsid w:val="007F559B"/>
    <w:rsid w:val="007F7504"/>
    <w:rsid w:val="00802C5D"/>
    <w:rsid w:val="008069AF"/>
    <w:rsid w:val="008113AA"/>
    <w:rsid w:val="00812B33"/>
    <w:rsid w:val="00813381"/>
    <w:rsid w:val="008142A0"/>
    <w:rsid w:val="008145B3"/>
    <w:rsid w:val="0081705A"/>
    <w:rsid w:val="00820F5A"/>
    <w:rsid w:val="00821121"/>
    <w:rsid w:val="00824DB4"/>
    <w:rsid w:val="00825BB1"/>
    <w:rsid w:val="00827794"/>
    <w:rsid w:val="008321A5"/>
    <w:rsid w:val="00832660"/>
    <w:rsid w:val="00832FB3"/>
    <w:rsid w:val="00833EE6"/>
    <w:rsid w:val="008359E6"/>
    <w:rsid w:val="00835A90"/>
    <w:rsid w:val="00836CCE"/>
    <w:rsid w:val="00840D95"/>
    <w:rsid w:val="00840FA1"/>
    <w:rsid w:val="008415B8"/>
    <w:rsid w:val="0084207A"/>
    <w:rsid w:val="00844963"/>
    <w:rsid w:val="00844D89"/>
    <w:rsid w:val="00845416"/>
    <w:rsid w:val="00847F08"/>
    <w:rsid w:val="0085207E"/>
    <w:rsid w:val="00852D17"/>
    <w:rsid w:val="00855F6B"/>
    <w:rsid w:val="00855FB6"/>
    <w:rsid w:val="00862E12"/>
    <w:rsid w:val="00864E71"/>
    <w:rsid w:val="008657C2"/>
    <w:rsid w:val="008671BC"/>
    <w:rsid w:val="008748E5"/>
    <w:rsid w:val="008761AE"/>
    <w:rsid w:val="00876670"/>
    <w:rsid w:val="00877C86"/>
    <w:rsid w:val="00880D33"/>
    <w:rsid w:val="00891A35"/>
    <w:rsid w:val="00891BAC"/>
    <w:rsid w:val="00892D58"/>
    <w:rsid w:val="00892ED3"/>
    <w:rsid w:val="00896E38"/>
    <w:rsid w:val="008A0813"/>
    <w:rsid w:val="008A178C"/>
    <w:rsid w:val="008A5B8F"/>
    <w:rsid w:val="008A5B9D"/>
    <w:rsid w:val="008B2A81"/>
    <w:rsid w:val="008B6968"/>
    <w:rsid w:val="008B71BD"/>
    <w:rsid w:val="008C1CB1"/>
    <w:rsid w:val="008C268E"/>
    <w:rsid w:val="008C314E"/>
    <w:rsid w:val="008D2903"/>
    <w:rsid w:val="008D3C47"/>
    <w:rsid w:val="008D44E7"/>
    <w:rsid w:val="008E05B0"/>
    <w:rsid w:val="008E3C4B"/>
    <w:rsid w:val="008E5D12"/>
    <w:rsid w:val="008E5FEA"/>
    <w:rsid w:val="008E6743"/>
    <w:rsid w:val="008F00A7"/>
    <w:rsid w:val="008F4524"/>
    <w:rsid w:val="008F5048"/>
    <w:rsid w:val="00902D72"/>
    <w:rsid w:val="00906BA5"/>
    <w:rsid w:val="00912E37"/>
    <w:rsid w:val="009130D7"/>
    <w:rsid w:val="009133BA"/>
    <w:rsid w:val="00920542"/>
    <w:rsid w:val="00921A39"/>
    <w:rsid w:val="00925876"/>
    <w:rsid w:val="00927647"/>
    <w:rsid w:val="00932F1B"/>
    <w:rsid w:val="00934164"/>
    <w:rsid w:val="0093627E"/>
    <w:rsid w:val="00936D64"/>
    <w:rsid w:val="009371B9"/>
    <w:rsid w:val="00942C7B"/>
    <w:rsid w:val="00944ED5"/>
    <w:rsid w:val="00947155"/>
    <w:rsid w:val="009510C1"/>
    <w:rsid w:val="009525FA"/>
    <w:rsid w:val="00954D58"/>
    <w:rsid w:val="00954E4C"/>
    <w:rsid w:val="00955B40"/>
    <w:rsid w:val="00957BB7"/>
    <w:rsid w:val="00960438"/>
    <w:rsid w:val="0096127B"/>
    <w:rsid w:val="00961DDA"/>
    <w:rsid w:val="009641E2"/>
    <w:rsid w:val="00970B0C"/>
    <w:rsid w:val="00972E5B"/>
    <w:rsid w:val="0097467C"/>
    <w:rsid w:val="0097496A"/>
    <w:rsid w:val="009756C9"/>
    <w:rsid w:val="00976469"/>
    <w:rsid w:val="00991688"/>
    <w:rsid w:val="0099224C"/>
    <w:rsid w:val="0099256D"/>
    <w:rsid w:val="00993A1F"/>
    <w:rsid w:val="009A1D32"/>
    <w:rsid w:val="009A3155"/>
    <w:rsid w:val="009A5819"/>
    <w:rsid w:val="009B1010"/>
    <w:rsid w:val="009B1BCD"/>
    <w:rsid w:val="009B57FC"/>
    <w:rsid w:val="009B7E5F"/>
    <w:rsid w:val="009C2CBD"/>
    <w:rsid w:val="009C58FD"/>
    <w:rsid w:val="009D0B4E"/>
    <w:rsid w:val="009D3993"/>
    <w:rsid w:val="009D54A8"/>
    <w:rsid w:val="009D6E09"/>
    <w:rsid w:val="009E4227"/>
    <w:rsid w:val="009E6D11"/>
    <w:rsid w:val="009F2FD3"/>
    <w:rsid w:val="009F68DE"/>
    <w:rsid w:val="009F6C1A"/>
    <w:rsid w:val="009F71E2"/>
    <w:rsid w:val="00A03007"/>
    <w:rsid w:val="00A13A44"/>
    <w:rsid w:val="00A1760A"/>
    <w:rsid w:val="00A2136E"/>
    <w:rsid w:val="00A3029C"/>
    <w:rsid w:val="00A32BB7"/>
    <w:rsid w:val="00A339A6"/>
    <w:rsid w:val="00A40129"/>
    <w:rsid w:val="00A41525"/>
    <w:rsid w:val="00A42A4D"/>
    <w:rsid w:val="00A47913"/>
    <w:rsid w:val="00A51E67"/>
    <w:rsid w:val="00A535BD"/>
    <w:rsid w:val="00A53E6D"/>
    <w:rsid w:val="00A542A4"/>
    <w:rsid w:val="00A54B8E"/>
    <w:rsid w:val="00A611A2"/>
    <w:rsid w:val="00A6657A"/>
    <w:rsid w:val="00A708CC"/>
    <w:rsid w:val="00A70B0C"/>
    <w:rsid w:val="00A74361"/>
    <w:rsid w:val="00A822CF"/>
    <w:rsid w:val="00A8317C"/>
    <w:rsid w:val="00A832CA"/>
    <w:rsid w:val="00A837BA"/>
    <w:rsid w:val="00A8424D"/>
    <w:rsid w:val="00A90119"/>
    <w:rsid w:val="00A90AF6"/>
    <w:rsid w:val="00A93159"/>
    <w:rsid w:val="00A9397E"/>
    <w:rsid w:val="00AA14B4"/>
    <w:rsid w:val="00AA26EC"/>
    <w:rsid w:val="00AA7AD6"/>
    <w:rsid w:val="00AB58A4"/>
    <w:rsid w:val="00AB6E4F"/>
    <w:rsid w:val="00AC054F"/>
    <w:rsid w:val="00AC5A7D"/>
    <w:rsid w:val="00AD236B"/>
    <w:rsid w:val="00AD6877"/>
    <w:rsid w:val="00AD6D56"/>
    <w:rsid w:val="00AE0435"/>
    <w:rsid w:val="00AE3319"/>
    <w:rsid w:val="00AE38FF"/>
    <w:rsid w:val="00AE44D4"/>
    <w:rsid w:val="00AF0EFE"/>
    <w:rsid w:val="00AF15F1"/>
    <w:rsid w:val="00AF29A2"/>
    <w:rsid w:val="00AF63D8"/>
    <w:rsid w:val="00B01AA2"/>
    <w:rsid w:val="00B01EC4"/>
    <w:rsid w:val="00B03638"/>
    <w:rsid w:val="00B05E03"/>
    <w:rsid w:val="00B1035F"/>
    <w:rsid w:val="00B106D4"/>
    <w:rsid w:val="00B16E63"/>
    <w:rsid w:val="00B178CC"/>
    <w:rsid w:val="00B20247"/>
    <w:rsid w:val="00B20DBF"/>
    <w:rsid w:val="00B24ED7"/>
    <w:rsid w:val="00B25CA2"/>
    <w:rsid w:val="00B26344"/>
    <w:rsid w:val="00B26D85"/>
    <w:rsid w:val="00B26FE7"/>
    <w:rsid w:val="00B301B3"/>
    <w:rsid w:val="00B316CA"/>
    <w:rsid w:val="00B329F9"/>
    <w:rsid w:val="00B33D68"/>
    <w:rsid w:val="00B33DF6"/>
    <w:rsid w:val="00B35032"/>
    <w:rsid w:val="00B404E0"/>
    <w:rsid w:val="00B4205D"/>
    <w:rsid w:val="00B42DB1"/>
    <w:rsid w:val="00B434AB"/>
    <w:rsid w:val="00B44450"/>
    <w:rsid w:val="00B44B30"/>
    <w:rsid w:val="00B52A67"/>
    <w:rsid w:val="00B5453F"/>
    <w:rsid w:val="00B56A61"/>
    <w:rsid w:val="00B56F94"/>
    <w:rsid w:val="00B57A23"/>
    <w:rsid w:val="00B621BA"/>
    <w:rsid w:val="00B624D5"/>
    <w:rsid w:val="00B645B9"/>
    <w:rsid w:val="00B6514F"/>
    <w:rsid w:val="00B66D3A"/>
    <w:rsid w:val="00B72997"/>
    <w:rsid w:val="00B75A28"/>
    <w:rsid w:val="00B777B0"/>
    <w:rsid w:val="00B81055"/>
    <w:rsid w:val="00B832D9"/>
    <w:rsid w:val="00B83F12"/>
    <w:rsid w:val="00B87856"/>
    <w:rsid w:val="00B87998"/>
    <w:rsid w:val="00B90714"/>
    <w:rsid w:val="00B9211A"/>
    <w:rsid w:val="00B953A3"/>
    <w:rsid w:val="00BA0EB2"/>
    <w:rsid w:val="00BA3048"/>
    <w:rsid w:val="00BA489F"/>
    <w:rsid w:val="00BA4A2B"/>
    <w:rsid w:val="00BA511B"/>
    <w:rsid w:val="00BA5640"/>
    <w:rsid w:val="00BA6B48"/>
    <w:rsid w:val="00BA6FBF"/>
    <w:rsid w:val="00BA7BFF"/>
    <w:rsid w:val="00BB785D"/>
    <w:rsid w:val="00BC5583"/>
    <w:rsid w:val="00BC5B6A"/>
    <w:rsid w:val="00BD2129"/>
    <w:rsid w:val="00BD32A1"/>
    <w:rsid w:val="00BD6AFA"/>
    <w:rsid w:val="00BD76BE"/>
    <w:rsid w:val="00BE351A"/>
    <w:rsid w:val="00BE3787"/>
    <w:rsid w:val="00BE65C8"/>
    <w:rsid w:val="00BE6D2A"/>
    <w:rsid w:val="00BF336E"/>
    <w:rsid w:val="00BF6B3A"/>
    <w:rsid w:val="00BF6D6C"/>
    <w:rsid w:val="00BF6FEA"/>
    <w:rsid w:val="00C00002"/>
    <w:rsid w:val="00C01FEF"/>
    <w:rsid w:val="00C03167"/>
    <w:rsid w:val="00C04F6D"/>
    <w:rsid w:val="00C07F98"/>
    <w:rsid w:val="00C167D7"/>
    <w:rsid w:val="00C20A48"/>
    <w:rsid w:val="00C20A86"/>
    <w:rsid w:val="00C229C7"/>
    <w:rsid w:val="00C26706"/>
    <w:rsid w:val="00C313AC"/>
    <w:rsid w:val="00C31605"/>
    <w:rsid w:val="00C35219"/>
    <w:rsid w:val="00C35FDF"/>
    <w:rsid w:val="00C414E5"/>
    <w:rsid w:val="00C42374"/>
    <w:rsid w:val="00C4481B"/>
    <w:rsid w:val="00C44A79"/>
    <w:rsid w:val="00C450DC"/>
    <w:rsid w:val="00C46696"/>
    <w:rsid w:val="00C538A7"/>
    <w:rsid w:val="00C54898"/>
    <w:rsid w:val="00C56E1A"/>
    <w:rsid w:val="00C61C61"/>
    <w:rsid w:val="00C61D0E"/>
    <w:rsid w:val="00C67B24"/>
    <w:rsid w:val="00C71A17"/>
    <w:rsid w:val="00C72840"/>
    <w:rsid w:val="00C77757"/>
    <w:rsid w:val="00C873C8"/>
    <w:rsid w:val="00C91708"/>
    <w:rsid w:val="00C95461"/>
    <w:rsid w:val="00CA1DD8"/>
    <w:rsid w:val="00CB157B"/>
    <w:rsid w:val="00CB2B59"/>
    <w:rsid w:val="00CB37D8"/>
    <w:rsid w:val="00CB62CC"/>
    <w:rsid w:val="00CB71C6"/>
    <w:rsid w:val="00CB7C4C"/>
    <w:rsid w:val="00CC0857"/>
    <w:rsid w:val="00CC13FB"/>
    <w:rsid w:val="00CC4F4E"/>
    <w:rsid w:val="00CC6083"/>
    <w:rsid w:val="00CC7BEE"/>
    <w:rsid w:val="00CC7C73"/>
    <w:rsid w:val="00CD0C1F"/>
    <w:rsid w:val="00CD5E88"/>
    <w:rsid w:val="00CD6261"/>
    <w:rsid w:val="00CD6B70"/>
    <w:rsid w:val="00CD72C4"/>
    <w:rsid w:val="00CF0487"/>
    <w:rsid w:val="00CF0B63"/>
    <w:rsid w:val="00CF533C"/>
    <w:rsid w:val="00D009D2"/>
    <w:rsid w:val="00D00F65"/>
    <w:rsid w:val="00D03E0C"/>
    <w:rsid w:val="00D040CC"/>
    <w:rsid w:val="00D04A62"/>
    <w:rsid w:val="00D054F0"/>
    <w:rsid w:val="00D06090"/>
    <w:rsid w:val="00D06AD0"/>
    <w:rsid w:val="00D07C87"/>
    <w:rsid w:val="00D117F0"/>
    <w:rsid w:val="00D12D66"/>
    <w:rsid w:val="00D13662"/>
    <w:rsid w:val="00D16E72"/>
    <w:rsid w:val="00D24052"/>
    <w:rsid w:val="00D2412A"/>
    <w:rsid w:val="00D2669C"/>
    <w:rsid w:val="00D27B54"/>
    <w:rsid w:val="00D310E5"/>
    <w:rsid w:val="00D32079"/>
    <w:rsid w:val="00D36E4C"/>
    <w:rsid w:val="00D37744"/>
    <w:rsid w:val="00D40F0C"/>
    <w:rsid w:val="00D45853"/>
    <w:rsid w:val="00D47DAB"/>
    <w:rsid w:val="00D50FED"/>
    <w:rsid w:val="00D512CD"/>
    <w:rsid w:val="00D6305D"/>
    <w:rsid w:val="00D63BCF"/>
    <w:rsid w:val="00D645D8"/>
    <w:rsid w:val="00D646EF"/>
    <w:rsid w:val="00D649B7"/>
    <w:rsid w:val="00D654D6"/>
    <w:rsid w:val="00D715C5"/>
    <w:rsid w:val="00D71F22"/>
    <w:rsid w:val="00D73E4F"/>
    <w:rsid w:val="00D74DC3"/>
    <w:rsid w:val="00D80215"/>
    <w:rsid w:val="00D8245F"/>
    <w:rsid w:val="00D857AF"/>
    <w:rsid w:val="00D91B7F"/>
    <w:rsid w:val="00D954B7"/>
    <w:rsid w:val="00DA5EC6"/>
    <w:rsid w:val="00DA69D9"/>
    <w:rsid w:val="00DB06BE"/>
    <w:rsid w:val="00DB23EB"/>
    <w:rsid w:val="00DB5CA2"/>
    <w:rsid w:val="00DC1EA8"/>
    <w:rsid w:val="00DC55C8"/>
    <w:rsid w:val="00DC7D9C"/>
    <w:rsid w:val="00DD0F24"/>
    <w:rsid w:val="00DD3ED7"/>
    <w:rsid w:val="00DD65AF"/>
    <w:rsid w:val="00DD778E"/>
    <w:rsid w:val="00DE3488"/>
    <w:rsid w:val="00DE4D09"/>
    <w:rsid w:val="00DE50FB"/>
    <w:rsid w:val="00DE590E"/>
    <w:rsid w:val="00DE66EA"/>
    <w:rsid w:val="00DF659B"/>
    <w:rsid w:val="00E00939"/>
    <w:rsid w:val="00E0184E"/>
    <w:rsid w:val="00E03854"/>
    <w:rsid w:val="00E11E1E"/>
    <w:rsid w:val="00E13332"/>
    <w:rsid w:val="00E13A37"/>
    <w:rsid w:val="00E1431A"/>
    <w:rsid w:val="00E1493C"/>
    <w:rsid w:val="00E15DDF"/>
    <w:rsid w:val="00E162AE"/>
    <w:rsid w:val="00E215B1"/>
    <w:rsid w:val="00E26ACF"/>
    <w:rsid w:val="00E30B07"/>
    <w:rsid w:val="00E31F11"/>
    <w:rsid w:val="00E40D64"/>
    <w:rsid w:val="00E4175C"/>
    <w:rsid w:val="00E506FC"/>
    <w:rsid w:val="00E51BF0"/>
    <w:rsid w:val="00E51D6D"/>
    <w:rsid w:val="00E552A8"/>
    <w:rsid w:val="00E61A69"/>
    <w:rsid w:val="00E62B25"/>
    <w:rsid w:val="00E63717"/>
    <w:rsid w:val="00E65165"/>
    <w:rsid w:val="00E66613"/>
    <w:rsid w:val="00E667E6"/>
    <w:rsid w:val="00E71920"/>
    <w:rsid w:val="00E738D7"/>
    <w:rsid w:val="00E801BE"/>
    <w:rsid w:val="00E80333"/>
    <w:rsid w:val="00E812B0"/>
    <w:rsid w:val="00E83048"/>
    <w:rsid w:val="00E8481C"/>
    <w:rsid w:val="00E8682F"/>
    <w:rsid w:val="00E86D25"/>
    <w:rsid w:val="00E914DF"/>
    <w:rsid w:val="00E919CA"/>
    <w:rsid w:val="00E93399"/>
    <w:rsid w:val="00E94C20"/>
    <w:rsid w:val="00E968B6"/>
    <w:rsid w:val="00EA30D0"/>
    <w:rsid w:val="00EA3898"/>
    <w:rsid w:val="00EA52CD"/>
    <w:rsid w:val="00EA7A37"/>
    <w:rsid w:val="00EB0C23"/>
    <w:rsid w:val="00EB0D6E"/>
    <w:rsid w:val="00EB1A8D"/>
    <w:rsid w:val="00EB1DFD"/>
    <w:rsid w:val="00EB4227"/>
    <w:rsid w:val="00EB500D"/>
    <w:rsid w:val="00EC4E90"/>
    <w:rsid w:val="00EC569C"/>
    <w:rsid w:val="00EC57E9"/>
    <w:rsid w:val="00EC621D"/>
    <w:rsid w:val="00EC7832"/>
    <w:rsid w:val="00ED15E5"/>
    <w:rsid w:val="00ED2299"/>
    <w:rsid w:val="00ED26DE"/>
    <w:rsid w:val="00ED3B2C"/>
    <w:rsid w:val="00ED3ED3"/>
    <w:rsid w:val="00ED7D1E"/>
    <w:rsid w:val="00EE06E7"/>
    <w:rsid w:val="00EE1135"/>
    <w:rsid w:val="00EE3B2E"/>
    <w:rsid w:val="00EE46DC"/>
    <w:rsid w:val="00EF0B34"/>
    <w:rsid w:val="00EF1479"/>
    <w:rsid w:val="00EF19F7"/>
    <w:rsid w:val="00EF5233"/>
    <w:rsid w:val="00EF5269"/>
    <w:rsid w:val="00EF61DB"/>
    <w:rsid w:val="00EF6CA6"/>
    <w:rsid w:val="00F00AA1"/>
    <w:rsid w:val="00F0281E"/>
    <w:rsid w:val="00F054A3"/>
    <w:rsid w:val="00F05ABC"/>
    <w:rsid w:val="00F1142F"/>
    <w:rsid w:val="00F12839"/>
    <w:rsid w:val="00F14668"/>
    <w:rsid w:val="00F21106"/>
    <w:rsid w:val="00F265F9"/>
    <w:rsid w:val="00F30392"/>
    <w:rsid w:val="00F30A4C"/>
    <w:rsid w:val="00F31F6F"/>
    <w:rsid w:val="00F326D2"/>
    <w:rsid w:val="00F33EA6"/>
    <w:rsid w:val="00F344F7"/>
    <w:rsid w:val="00F37668"/>
    <w:rsid w:val="00F400D7"/>
    <w:rsid w:val="00F4254A"/>
    <w:rsid w:val="00F42DBA"/>
    <w:rsid w:val="00F43A7B"/>
    <w:rsid w:val="00F45675"/>
    <w:rsid w:val="00F46769"/>
    <w:rsid w:val="00F47CDD"/>
    <w:rsid w:val="00F52137"/>
    <w:rsid w:val="00F54057"/>
    <w:rsid w:val="00F54977"/>
    <w:rsid w:val="00F61ADB"/>
    <w:rsid w:val="00F62ABE"/>
    <w:rsid w:val="00F64B2B"/>
    <w:rsid w:val="00F67D71"/>
    <w:rsid w:val="00F70F9B"/>
    <w:rsid w:val="00F720A0"/>
    <w:rsid w:val="00F73974"/>
    <w:rsid w:val="00F73E4A"/>
    <w:rsid w:val="00F74950"/>
    <w:rsid w:val="00F81173"/>
    <w:rsid w:val="00F81971"/>
    <w:rsid w:val="00F8450E"/>
    <w:rsid w:val="00F86A6C"/>
    <w:rsid w:val="00F86D8A"/>
    <w:rsid w:val="00F911DF"/>
    <w:rsid w:val="00F91D9E"/>
    <w:rsid w:val="00F92209"/>
    <w:rsid w:val="00F926BB"/>
    <w:rsid w:val="00F9354F"/>
    <w:rsid w:val="00F9497E"/>
    <w:rsid w:val="00F965A4"/>
    <w:rsid w:val="00FA1259"/>
    <w:rsid w:val="00FA63CE"/>
    <w:rsid w:val="00FB0738"/>
    <w:rsid w:val="00FB16BE"/>
    <w:rsid w:val="00FB198A"/>
    <w:rsid w:val="00FB4B04"/>
    <w:rsid w:val="00FB588C"/>
    <w:rsid w:val="00FB69E2"/>
    <w:rsid w:val="00FC1CC2"/>
    <w:rsid w:val="00FC3A6D"/>
    <w:rsid w:val="00FD4791"/>
    <w:rsid w:val="00FD577D"/>
    <w:rsid w:val="00FD7CB2"/>
    <w:rsid w:val="00FE1EF3"/>
    <w:rsid w:val="00FE224D"/>
    <w:rsid w:val="00FE2475"/>
    <w:rsid w:val="00FE262C"/>
    <w:rsid w:val="00FE38DC"/>
    <w:rsid w:val="00FE39A8"/>
    <w:rsid w:val="00FE5163"/>
    <w:rsid w:val="00FF3C37"/>
    <w:rsid w:val="00FF6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89277A"/>
  <w15:docId w15:val="{AC2C77D9-6466-4233-82B9-BFD70E284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248D"/>
    <w:pPr>
      <w:widowControl w:val="0"/>
      <w:autoSpaceDE w:val="0"/>
      <w:autoSpaceDN w:val="0"/>
      <w:adjustRightInd w:val="0"/>
      <w:spacing w:after="0" w:line="240" w:lineRule="auto"/>
    </w:pPr>
    <w:rPr>
      <w:rFonts w:ascii="Arial" w:hAnsi="Arial" w:cs="Times New Roman"/>
      <w:sz w:val="24"/>
      <w:szCs w:val="24"/>
    </w:rPr>
  </w:style>
  <w:style w:type="paragraph" w:styleId="Heading1">
    <w:name w:val="heading 1"/>
    <w:basedOn w:val="Normal"/>
    <w:next w:val="Normal"/>
    <w:link w:val="Heading1Char"/>
    <w:qFormat/>
    <w:rsid w:val="00077B1D"/>
    <w:pPr>
      <w:keepNext/>
      <w:keepLines/>
      <w:widowControl/>
      <w:overflowPunct w:val="0"/>
      <w:spacing w:before="360" w:after="120"/>
      <w:textAlignment w:val="baseline"/>
      <w:outlineLvl w:val="0"/>
    </w:pPr>
    <w:rPr>
      <w:rFonts w:eastAsia="Times New Roman"/>
      <w:b/>
      <w:bCs/>
      <w:small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953B3"/>
    <w:pPr>
      <w:kinsoku w:val="0"/>
      <w:overflowPunct w:val="0"/>
    </w:pPr>
  </w:style>
  <w:style w:type="character" w:customStyle="1" w:styleId="BodyTextChar">
    <w:name w:val="Body Text Char"/>
    <w:basedOn w:val="DefaultParagraphFont"/>
    <w:link w:val="BodyText"/>
    <w:uiPriority w:val="1"/>
    <w:rsid w:val="007953B3"/>
    <w:rPr>
      <w:rFonts w:ascii="Times New Roman" w:hAnsi="Times New Roman" w:cs="Times New Roman"/>
      <w:sz w:val="24"/>
      <w:szCs w:val="24"/>
    </w:rPr>
  </w:style>
  <w:style w:type="paragraph" w:styleId="ListParagraph">
    <w:name w:val="List Paragraph"/>
    <w:basedOn w:val="Normal"/>
    <w:link w:val="ListParagraphChar"/>
    <w:uiPriority w:val="34"/>
    <w:qFormat/>
    <w:rsid w:val="005C557A"/>
    <w:pPr>
      <w:numPr>
        <w:numId w:val="12"/>
      </w:numPr>
      <w:spacing w:after="200"/>
    </w:pPr>
  </w:style>
  <w:style w:type="paragraph" w:customStyle="1" w:styleId="TableParagraph">
    <w:name w:val="Table Paragraph"/>
    <w:basedOn w:val="Normal"/>
    <w:uiPriority w:val="1"/>
    <w:qFormat/>
    <w:rsid w:val="00934164"/>
    <w:pPr>
      <w:keepNext/>
    </w:pPr>
  </w:style>
  <w:style w:type="paragraph" w:styleId="Header">
    <w:name w:val="header"/>
    <w:basedOn w:val="Normal"/>
    <w:link w:val="HeaderChar"/>
    <w:uiPriority w:val="99"/>
    <w:unhideWhenUsed/>
    <w:rsid w:val="004B1DF0"/>
    <w:pPr>
      <w:tabs>
        <w:tab w:val="center" w:pos="4680"/>
        <w:tab w:val="right" w:pos="9360"/>
      </w:tabs>
    </w:pPr>
  </w:style>
  <w:style w:type="character" w:customStyle="1" w:styleId="HeaderChar">
    <w:name w:val="Header Char"/>
    <w:basedOn w:val="DefaultParagraphFont"/>
    <w:link w:val="Header"/>
    <w:uiPriority w:val="99"/>
    <w:rsid w:val="004B1DF0"/>
    <w:rPr>
      <w:rFonts w:ascii="Times New Roman" w:hAnsi="Times New Roman" w:cs="Times New Roman"/>
      <w:sz w:val="24"/>
      <w:szCs w:val="24"/>
    </w:rPr>
  </w:style>
  <w:style w:type="paragraph" w:styleId="Footer">
    <w:name w:val="footer"/>
    <w:basedOn w:val="Normal"/>
    <w:link w:val="FooterChar"/>
    <w:uiPriority w:val="99"/>
    <w:unhideWhenUsed/>
    <w:rsid w:val="004B1DF0"/>
    <w:pPr>
      <w:tabs>
        <w:tab w:val="center" w:pos="4680"/>
        <w:tab w:val="right" w:pos="9360"/>
      </w:tabs>
    </w:pPr>
  </w:style>
  <w:style w:type="character" w:customStyle="1" w:styleId="FooterChar">
    <w:name w:val="Footer Char"/>
    <w:basedOn w:val="DefaultParagraphFont"/>
    <w:link w:val="Footer"/>
    <w:uiPriority w:val="99"/>
    <w:rsid w:val="004B1DF0"/>
    <w:rPr>
      <w:rFonts w:ascii="Times New Roman" w:hAnsi="Times New Roman" w:cs="Times New Roman"/>
      <w:sz w:val="24"/>
      <w:szCs w:val="24"/>
    </w:rPr>
  </w:style>
  <w:style w:type="character" w:customStyle="1" w:styleId="Heading1Char">
    <w:name w:val="Heading 1 Char"/>
    <w:basedOn w:val="DefaultParagraphFont"/>
    <w:link w:val="Heading1"/>
    <w:rsid w:val="00077B1D"/>
    <w:rPr>
      <w:rFonts w:ascii="Times New Roman" w:eastAsia="Times New Roman" w:hAnsi="Times New Roman" w:cs="Times New Roman"/>
      <w:b/>
      <w:bCs/>
      <w:smallCaps/>
      <w:sz w:val="28"/>
      <w:szCs w:val="28"/>
    </w:rPr>
  </w:style>
  <w:style w:type="paragraph" w:customStyle="1" w:styleId="Default">
    <w:name w:val="Default"/>
    <w:rsid w:val="00BF6D6C"/>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StyleBulletedSymbolsymbolLeft0Hanging025">
    <w:name w:val="Style Bulleted Symbol (symbol) Left:  0&quot; Hanging:  0.25&quot;"/>
    <w:basedOn w:val="NoList"/>
    <w:rsid w:val="00BF6D6C"/>
    <w:pPr>
      <w:numPr>
        <w:numId w:val="7"/>
      </w:numPr>
    </w:pPr>
  </w:style>
  <w:style w:type="paragraph" w:styleId="BalloonText">
    <w:name w:val="Balloon Text"/>
    <w:basedOn w:val="Normal"/>
    <w:link w:val="BalloonTextChar"/>
    <w:uiPriority w:val="99"/>
    <w:semiHidden/>
    <w:unhideWhenUsed/>
    <w:rsid w:val="00EF52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69"/>
    <w:rPr>
      <w:rFonts w:ascii="Segoe UI" w:hAnsi="Segoe UI" w:cs="Segoe UI"/>
      <w:sz w:val="18"/>
      <w:szCs w:val="18"/>
    </w:rPr>
  </w:style>
  <w:style w:type="table" w:styleId="TableGrid">
    <w:name w:val="Table Grid"/>
    <w:basedOn w:val="TableNormal"/>
    <w:uiPriority w:val="59"/>
    <w:rsid w:val="00F37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link w:val="BulletChar"/>
    <w:uiPriority w:val="1"/>
    <w:qFormat/>
    <w:rsid w:val="00F911DF"/>
    <w:pPr>
      <w:widowControl/>
      <w:numPr>
        <w:numId w:val="0"/>
      </w:numPr>
    </w:pPr>
  </w:style>
  <w:style w:type="paragraph" w:customStyle="1" w:styleId="SubBullet">
    <w:name w:val="SubBullet"/>
    <w:basedOn w:val="BodyText"/>
    <w:link w:val="SubBulletChar"/>
    <w:uiPriority w:val="1"/>
    <w:qFormat/>
    <w:rsid w:val="00F911DF"/>
    <w:pPr>
      <w:spacing w:after="200"/>
      <w:contextualSpacing/>
    </w:pPr>
  </w:style>
  <w:style w:type="character" w:customStyle="1" w:styleId="ListParagraphChar">
    <w:name w:val="List Paragraph Char"/>
    <w:basedOn w:val="DefaultParagraphFont"/>
    <w:link w:val="ListParagraph"/>
    <w:uiPriority w:val="34"/>
    <w:rsid w:val="00077B1D"/>
    <w:rPr>
      <w:rFonts w:ascii="Times New Roman" w:hAnsi="Times New Roman" w:cs="Times New Roman"/>
      <w:sz w:val="24"/>
      <w:szCs w:val="24"/>
    </w:rPr>
  </w:style>
  <w:style w:type="character" w:customStyle="1" w:styleId="BulletChar">
    <w:name w:val="Bullet Char"/>
    <w:basedOn w:val="ListParagraphChar"/>
    <w:link w:val="Bullet"/>
    <w:uiPriority w:val="1"/>
    <w:rsid w:val="00F911DF"/>
    <w:rPr>
      <w:rFonts w:ascii="Times New Roman" w:hAnsi="Times New Roman" w:cs="Times New Roman"/>
      <w:sz w:val="24"/>
      <w:szCs w:val="24"/>
    </w:rPr>
  </w:style>
  <w:style w:type="character" w:customStyle="1" w:styleId="SubBulletChar">
    <w:name w:val="SubBullet Char"/>
    <w:basedOn w:val="BodyTextChar"/>
    <w:link w:val="SubBullet"/>
    <w:uiPriority w:val="1"/>
    <w:rsid w:val="00F911DF"/>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E2471"/>
    <w:rPr>
      <w:sz w:val="16"/>
      <w:szCs w:val="16"/>
    </w:rPr>
  </w:style>
  <w:style w:type="paragraph" w:styleId="CommentText">
    <w:name w:val="annotation text"/>
    <w:basedOn w:val="Normal"/>
    <w:link w:val="CommentTextChar"/>
    <w:uiPriority w:val="99"/>
    <w:semiHidden/>
    <w:unhideWhenUsed/>
    <w:rsid w:val="002E2471"/>
    <w:rPr>
      <w:sz w:val="20"/>
      <w:szCs w:val="20"/>
    </w:rPr>
  </w:style>
  <w:style w:type="character" w:customStyle="1" w:styleId="CommentTextChar">
    <w:name w:val="Comment Text Char"/>
    <w:basedOn w:val="DefaultParagraphFont"/>
    <w:link w:val="CommentText"/>
    <w:uiPriority w:val="99"/>
    <w:semiHidden/>
    <w:rsid w:val="002E247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E2471"/>
    <w:rPr>
      <w:b/>
      <w:bCs/>
    </w:rPr>
  </w:style>
  <w:style w:type="character" w:customStyle="1" w:styleId="CommentSubjectChar">
    <w:name w:val="Comment Subject Char"/>
    <w:basedOn w:val="CommentTextChar"/>
    <w:link w:val="CommentSubject"/>
    <w:uiPriority w:val="99"/>
    <w:semiHidden/>
    <w:rsid w:val="002E2471"/>
    <w:rPr>
      <w:rFonts w:ascii="Times New Roman" w:hAnsi="Times New Roman" w:cs="Times New Roman"/>
      <w:b/>
      <w:bCs/>
      <w:sz w:val="20"/>
      <w:szCs w:val="20"/>
    </w:rPr>
  </w:style>
  <w:style w:type="character" w:styleId="Hyperlink">
    <w:name w:val="Hyperlink"/>
    <w:basedOn w:val="DefaultParagraphFont"/>
    <w:uiPriority w:val="99"/>
    <w:unhideWhenUsed/>
    <w:rsid w:val="0025717B"/>
    <w:rPr>
      <w:color w:val="0000FF" w:themeColor="hyperlink"/>
      <w:u w:val="single"/>
    </w:rPr>
  </w:style>
  <w:style w:type="character" w:styleId="FollowedHyperlink">
    <w:name w:val="FollowedHyperlink"/>
    <w:basedOn w:val="DefaultParagraphFont"/>
    <w:uiPriority w:val="99"/>
    <w:semiHidden/>
    <w:unhideWhenUsed/>
    <w:rsid w:val="00991688"/>
    <w:rPr>
      <w:color w:val="800080" w:themeColor="followedHyperlink"/>
      <w:u w:val="single"/>
    </w:rPr>
  </w:style>
  <w:style w:type="paragraph" w:styleId="NormalWeb">
    <w:name w:val="Normal (Web)"/>
    <w:basedOn w:val="Normal"/>
    <w:uiPriority w:val="99"/>
    <w:semiHidden/>
    <w:unhideWhenUsed/>
    <w:rsid w:val="00925876"/>
    <w:pPr>
      <w:widowControl/>
      <w:autoSpaceDE/>
      <w:autoSpaceDN/>
      <w:adjustRightInd/>
      <w:spacing w:before="100" w:beforeAutospacing="1" w:after="100" w:afterAutospacing="1"/>
    </w:pPr>
    <w:rPr>
      <w:rFonts w:eastAsia="Times New Roman"/>
    </w:rPr>
  </w:style>
  <w:style w:type="paragraph" w:styleId="NoSpacing">
    <w:name w:val="No Spacing"/>
    <w:uiPriority w:val="1"/>
    <w:qFormat/>
    <w:rsid w:val="000057A0"/>
    <w:pPr>
      <w:widowControl w:val="0"/>
      <w:autoSpaceDE w:val="0"/>
      <w:autoSpaceDN w:val="0"/>
      <w:adjustRightInd w:val="0"/>
      <w:spacing w:after="0" w:line="240" w:lineRule="auto"/>
    </w:pPr>
    <w:rPr>
      <w:rFonts w:ascii="Times New Roman" w:hAnsi="Times New Roman" w:cs="Times New Roman"/>
      <w:sz w:val="24"/>
      <w:szCs w:val="24"/>
    </w:rPr>
  </w:style>
  <w:style w:type="paragraph" w:styleId="Revision">
    <w:name w:val="Revision"/>
    <w:hidden/>
    <w:uiPriority w:val="99"/>
    <w:semiHidden/>
    <w:rsid w:val="00BE6D2A"/>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055278">
      <w:bodyDiv w:val="1"/>
      <w:marLeft w:val="0"/>
      <w:marRight w:val="0"/>
      <w:marTop w:val="0"/>
      <w:marBottom w:val="0"/>
      <w:divBdr>
        <w:top w:val="none" w:sz="0" w:space="0" w:color="auto"/>
        <w:left w:val="none" w:sz="0" w:space="0" w:color="auto"/>
        <w:bottom w:val="none" w:sz="0" w:space="0" w:color="auto"/>
        <w:right w:val="none" w:sz="0" w:space="0" w:color="auto"/>
      </w:divBdr>
    </w:div>
    <w:div w:id="209391446">
      <w:bodyDiv w:val="1"/>
      <w:marLeft w:val="0"/>
      <w:marRight w:val="0"/>
      <w:marTop w:val="0"/>
      <w:marBottom w:val="0"/>
      <w:divBdr>
        <w:top w:val="none" w:sz="0" w:space="0" w:color="auto"/>
        <w:left w:val="none" w:sz="0" w:space="0" w:color="auto"/>
        <w:bottom w:val="none" w:sz="0" w:space="0" w:color="auto"/>
        <w:right w:val="none" w:sz="0" w:space="0" w:color="auto"/>
      </w:divBdr>
    </w:div>
    <w:div w:id="239559758">
      <w:bodyDiv w:val="1"/>
      <w:marLeft w:val="0"/>
      <w:marRight w:val="0"/>
      <w:marTop w:val="0"/>
      <w:marBottom w:val="0"/>
      <w:divBdr>
        <w:top w:val="none" w:sz="0" w:space="0" w:color="auto"/>
        <w:left w:val="none" w:sz="0" w:space="0" w:color="auto"/>
        <w:bottom w:val="none" w:sz="0" w:space="0" w:color="auto"/>
        <w:right w:val="none" w:sz="0" w:space="0" w:color="auto"/>
      </w:divBdr>
    </w:div>
    <w:div w:id="513348817">
      <w:bodyDiv w:val="1"/>
      <w:marLeft w:val="0"/>
      <w:marRight w:val="0"/>
      <w:marTop w:val="0"/>
      <w:marBottom w:val="0"/>
      <w:divBdr>
        <w:top w:val="none" w:sz="0" w:space="0" w:color="auto"/>
        <w:left w:val="none" w:sz="0" w:space="0" w:color="auto"/>
        <w:bottom w:val="none" w:sz="0" w:space="0" w:color="auto"/>
        <w:right w:val="none" w:sz="0" w:space="0" w:color="auto"/>
      </w:divBdr>
    </w:div>
    <w:div w:id="725571931">
      <w:bodyDiv w:val="1"/>
      <w:marLeft w:val="0"/>
      <w:marRight w:val="0"/>
      <w:marTop w:val="0"/>
      <w:marBottom w:val="0"/>
      <w:divBdr>
        <w:top w:val="none" w:sz="0" w:space="0" w:color="auto"/>
        <w:left w:val="none" w:sz="0" w:space="0" w:color="auto"/>
        <w:bottom w:val="none" w:sz="0" w:space="0" w:color="auto"/>
        <w:right w:val="none" w:sz="0" w:space="0" w:color="auto"/>
      </w:divBdr>
    </w:div>
    <w:div w:id="764227408">
      <w:bodyDiv w:val="1"/>
      <w:marLeft w:val="0"/>
      <w:marRight w:val="0"/>
      <w:marTop w:val="0"/>
      <w:marBottom w:val="0"/>
      <w:divBdr>
        <w:top w:val="none" w:sz="0" w:space="0" w:color="auto"/>
        <w:left w:val="none" w:sz="0" w:space="0" w:color="auto"/>
        <w:bottom w:val="none" w:sz="0" w:space="0" w:color="auto"/>
        <w:right w:val="none" w:sz="0" w:space="0" w:color="auto"/>
      </w:divBdr>
    </w:div>
    <w:div w:id="822502143">
      <w:bodyDiv w:val="1"/>
      <w:marLeft w:val="0"/>
      <w:marRight w:val="0"/>
      <w:marTop w:val="0"/>
      <w:marBottom w:val="0"/>
      <w:divBdr>
        <w:top w:val="none" w:sz="0" w:space="0" w:color="auto"/>
        <w:left w:val="none" w:sz="0" w:space="0" w:color="auto"/>
        <w:bottom w:val="none" w:sz="0" w:space="0" w:color="auto"/>
        <w:right w:val="none" w:sz="0" w:space="0" w:color="auto"/>
      </w:divBdr>
    </w:div>
    <w:div w:id="1058016463">
      <w:bodyDiv w:val="1"/>
      <w:marLeft w:val="0"/>
      <w:marRight w:val="0"/>
      <w:marTop w:val="0"/>
      <w:marBottom w:val="0"/>
      <w:divBdr>
        <w:top w:val="none" w:sz="0" w:space="0" w:color="auto"/>
        <w:left w:val="none" w:sz="0" w:space="0" w:color="auto"/>
        <w:bottom w:val="none" w:sz="0" w:space="0" w:color="auto"/>
        <w:right w:val="none" w:sz="0" w:space="0" w:color="auto"/>
      </w:divBdr>
    </w:div>
    <w:div w:id="1119758455">
      <w:bodyDiv w:val="1"/>
      <w:marLeft w:val="0"/>
      <w:marRight w:val="0"/>
      <w:marTop w:val="0"/>
      <w:marBottom w:val="0"/>
      <w:divBdr>
        <w:top w:val="none" w:sz="0" w:space="0" w:color="auto"/>
        <w:left w:val="none" w:sz="0" w:space="0" w:color="auto"/>
        <w:bottom w:val="none" w:sz="0" w:space="0" w:color="auto"/>
        <w:right w:val="none" w:sz="0" w:space="0" w:color="auto"/>
      </w:divBdr>
    </w:div>
    <w:div w:id="1144929617">
      <w:bodyDiv w:val="1"/>
      <w:marLeft w:val="0"/>
      <w:marRight w:val="0"/>
      <w:marTop w:val="0"/>
      <w:marBottom w:val="0"/>
      <w:divBdr>
        <w:top w:val="none" w:sz="0" w:space="0" w:color="auto"/>
        <w:left w:val="none" w:sz="0" w:space="0" w:color="auto"/>
        <w:bottom w:val="none" w:sz="0" w:space="0" w:color="auto"/>
        <w:right w:val="none" w:sz="0" w:space="0" w:color="auto"/>
      </w:divBdr>
    </w:div>
    <w:div w:id="1243955215">
      <w:bodyDiv w:val="1"/>
      <w:marLeft w:val="0"/>
      <w:marRight w:val="0"/>
      <w:marTop w:val="0"/>
      <w:marBottom w:val="0"/>
      <w:divBdr>
        <w:top w:val="none" w:sz="0" w:space="0" w:color="auto"/>
        <w:left w:val="none" w:sz="0" w:space="0" w:color="auto"/>
        <w:bottom w:val="none" w:sz="0" w:space="0" w:color="auto"/>
        <w:right w:val="none" w:sz="0" w:space="0" w:color="auto"/>
      </w:divBdr>
    </w:div>
    <w:div w:id="1525898102">
      <w:bodyDiv w:val="1"/>
      <w:marLeft w:val="0"/>
      <w:marRight w:val="0"/>
      <w:marTop w:val="0"/>
      <w:marBottom w:val="0"/>
      <w:divBdr>
        <w:top w:val="none" w:sz="0" w:space="0" w:color="auto"/>
        <w:left w:val="none" w:sz="0" w:space="0" w:color="auto"/>
        <w:bottom w:val="none" w:sz="0" w:space="0" w:color="auto"/>
        <w:right w:val="none" w:sz="0" w:space="0" w:color="auto"/>
      </w:divBdr>
    </w:div>
    <w:div w:id="1623151550">
      <w:bodyDiv w:val="1"/>
      <w:marLeft w:val="0"/>
      <w:marRight w:val="0"/>
      <w:marTop w:val="0"/>
      <w:marBottom w:val="0"/>
      <w:divBdr>
        <w:top w:val="none" w:sz="0" w:space="0" w:color="auto"/>
        <w:left w:val="none" w:sz="0" w:space="0" w:color="auto"/>
        <w:bottom w:val="none" w:sz="0" w:space="0" w:color="auto"/>
        <w:right w:val="none" w:sz="0" w:space="0" w:color="auto"/>
      </w:divBdr>
    </w:div>
    <w:div w:id="1634366341">
      <w:bodyDiv w:val="1"/>
      <w:marLeft w:val="0"/>
      <w:marRight w:val="0"/>
      <w:marTop w:val="0"/>
      <w:marBottom w:val="0"/>
      <w:divBdr>
        <w:top w:val="none" w:sz="0" w:space="0" w:color="auto"/>
        <w:left w:val="none" w:sz="0" w:space="0" w:color="auto"/>
        <w:bottom w:val="none" w:sz="0" w:space="0" w:color="auto"/>
        <w:right w:val="none" w:sz="0" w:space="0" w:color="auto"/>
      </w:divBdr>
    </w:div>
    <w:div w:id="1660424335">
      <w:bodyDiv w:val="1"/>
      <w:marLeft w:val="0"/>
      <w:marRight w:val="0"/>
      <w:marTop w:val="0"/>
      <w:marBottom w:val="0"/>
      <w:divBdr>
        <w:top w:val="none" w:sz="0" w:space="0" w:color="auto"/>
        <w:left w:val="none" w:sz="0" w:space="0" w:color="auto"/>
        <w:bottom w:val="none" w:sz="0" w:space="0" w:color="auto"/>
        <w:right w:val="none" w:sz="0" w:space="0" w:color="auto"/>
      </w:divBdr>
    </w:div>
    <w:div w:id="1696228804">
      <w:bodyDiv w:val="1"/>
      <w:marLeft w:val="0"/>
      <w:marRight w:val="0"/>
      <w:marTop w:val="0"/>
      <w:marBottom w:val="0"/>
      <w:divBdr>
        <w:top w:val="none" w:sz="0" w:space="0" w:color="auto"/>
        <w:left w:val="none" w:sz="0" w:space="0" w:color="auto"/>
        <w:bottom w:val="none" w:sz="0" w:space="0" w:color="auto"/>
        <w:right w:val="none" w:sz="0" w:space="0" w:color="auto"/>
      </w:divBdr>
    </w:div>
    <w:div w:id="1821193202">
      <w:bodyDiv w:val="1"/>
      <w:marLeft w:val="0"/>
      <w:marRight w:val="0"/>
      <w:marTop w:val="0"/>
      <w:marBottom w:val="0"/>
      <w:divBdr>
        <w:top w:val="none" w:sz="0" w:space="0" w:color="auto"/>
        <w:left w:val="none" w:sz="0" w:space="0" w:color="auto"/>
        <w:bottom w:val="none" w:sz="0" w:space="0" w:color="auto"/>
        <w:right w:val="none" w:sz="0" w:space="0" w:color="auto"/>
      </w:divBdr>
    </w:div>
    <w:div w:id="1944414526">
      <w:bodyDiv w:val="1"/>
      <w:marLeft w:val="0"/>
      <w:marRight w:val="0"/>
      <w:marTop w:val="0"/>
      <w:marBottom w:val="0"/>
      <w:divBdr>
        <w:top w:val="none" w:sz="0" w:space="0" w:color="auto"/>
        <w:left w:val="none" w:sz="0" w:space="0" w:color="auto"/>
        <w:bottom w:val="none" w:sz="0" w:space="0" w:color="auto"/>
        <w:right w:val="none" w:sz="0" w:space="0" w:color="auto"/>
      </w:divBdr>
    </w:div>
    <w:div w:id="204401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pp.leg.wa.gov/rcw/default.aspx?cite=43.19.646" TargetMode="Externa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vernor.wa.gov/sites/default/files/exe_order/20-01%20SEEP%20Executive%20Order%20%28tmp%29.pdf"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leg.wa.gov/wac/default.aspx?cite=194-28&amp;full=true"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yperlink" Target="http://app.leg.wa.gov/rcw/default.aspx?cite=43.19.642"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mailto:accessibility@des.wa.gov" TargetMode="External"/><Relationship Id="rId14" Type="http://schemas.openxmlformats.org/officeDocument/2006/relationships/hyperlink" Target="http://app.leg.wa.gov/rcw/default.aspx?cite=43.19.642"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es.wa.lcl\doc\CPRM\BDO\MA\LegislativeReports\BioDieselFuelData_DueYearly\2020\2020Summary_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s.wa.lcl\doc\CPRM\BDO\MA\LegislativeReports\BioDieselFuelData_DueYearly\2020\2020Summary_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es.wa.lcl\doc\CPRM\BDO\MA\LegislativeReports\BioDieselFuelData_DueYearly\2020\2020Summary_2.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es.wa.lcl\doc\CPRM\BDO\MA\LegislativeReports\BioDieselFuelData_DueYearly\2020\2020Summary_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a:pPr>
            <a:r>
              <a:rPr lang="en-US" sz="950" b="1" i="0" u="none" strike="noStrike" baseline="0">
                <a:latin typeface="Arial" pitchFamily="34" charset="0"/>
                <a:cs typeface="Arial" pitchFamily="34" charset="0"/>
              </a:rPr>
              <a:t>Agency Diesel Fuel Purchases: 2020</a:t>
            </a:r>
            <a:br>
              <a:rPr lang="en-US" sz="950" b="0" i="0" u="none" strike="noStrike" baseline="0">
                <a:latin typeface="Arial" pitchFamily="34" charset="0"/>
                <a:cs typeface="Arial" pitchFamily="34" charset="0"/>
              </a:rPr>
            </a:br>
            <a:r>
              <a:rPr lang="en-US" sz="950" b="0" i="0" u="none" strike="noStrike" kern="1200" baseline="0">
                <a:solidFill>
                  <a:sysClr val="windowText" lastClr="000000"/>
                </a:solidFill>
                <a:latin typeface="Arial" pitchFamily="34" charset="0"/>
                <a:ea typeface="+mn-ea"/>
                <a:cs typeface="Arial" pitchFamily="34" charset="0"/>
              </a:rPr>
              <a:t>18,407,416 Gallons</a:t>
            </a:r>
          </a:p>
        </c:rich>
      </c:tx>
      <c:layout>
        <c:manualLayout>
          <c:xMode val="edge"/>
          <c:yMode val="edge"/>
          <c:x val="0.1340118753656924"/>
          <c:y val="4.8309178743961352E-2"/>
        </c:manualLayout>
      </c:layout>
      <c:overlay val="0"/>
    </c:title>
    <c:autoTitleDeleted val="0"/>
    <c:plotArea>
      <c:layout>
        <c:manualLayout>
          <c:layoutTarget val="inner"/>
          <c:xMode val="edge"/>
          <c:yMode val="edge"/>
          <c:x val="7.9815917792156132E-2"/>
          <c:y val="0.37000252362945668"/>
          <c:w val="0.4207915078529853"/>
          <c:h val="0.51626525343093299"/>
        </c:manualLayout>
      </c:layout>
      <c:pieChart>
        <c:varyColors val="1"/>
        <c:ser>
          <c:idx val="2"/>
          <c:order val="0"/>
          <c:dPt>
            <c:idx val="2"/>
            <c:bubble3D val="0"/>
            <c:spPr>
              <a:solidFill>
                <a:schemeClr val="accent3"/>
              </a:solidFill>
            </c:spPr>
            <c:extLst>
              <c:ext xmlns:c16="http://schemas.microsoft.com/office/drawing/2014/chart" uri="{C3380CC4-5D6E-409C-BE32-E72D297353CC}">
                <c16:uniqueId val="{00000001-A236-4068-BF13-127A8A695B74}"/>
              </c:ext>
            </c:extLst>
          </c:dPt>
          <c:dLbls>
            <c:dLbl>
              <c:idx val="0"/>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2-A236-4068-BF13-127A8A695B74}"/>
                </c:ext>
              </c:extLst>
            </c:dLbl>
            <c:dLbl>
              <c:idx val="1"/>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A236-4068-BF13-127A8A695B74}"/>
                </c:ext>
              </c:extLst>
            </c:dLbl>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StateBiodieselPurchases!$I$13:$K$13</c:f>
              <c:strCache>
                <c:ptCount val="3"/>
                <c:pt idx="0">
                  <c:v>WSF</c:v>
                </c:pt>
                <c:pt idx="1">
                  <c:v>WSDOT</c:v>
                </c:pt>
                <c:pt idx="2">
                  <c:v>Other Agencies</c:v>
                </c:pt>
              </c:strCache>
            </c:strRef>
          </c:cat>
          <c:val>
            <c:numRef>
              <c:f>StateBiodieselPurchases!$I$16:$K$16</c:f>
              <c:numCache>
                <c:formatCode>0%</c:formatCode>
                <c:ptCount val="3"/>
                <c:pt idx="0">
                  <c:v>0.80680584845911885</c:v>
                </c:pt>
                <c:pt idx="1">
                  <c:v>0.12220444099283465</c:v>
                </c:pt>
                <c:pt idx="2">
                  <c:v>7.0989710548046592E-2</c:v>
                </c:pt>
              </c:numCache>
            </c:numRef>
          </c:val>
          <c:extLst>
            <c:ext xmlns:c16="http://schemas.microsoft.com/office/drawing/2014/chart" uri="{C3380CC4-5D6E-409C-BE32-E72D297353CC}">
              <c16:uniqueId val="{00000004-A236-4068-BF13-127A8A695B74}"/>
            </c:ext>
          </c:extLst>
        </c:ser>
        <c:ser>
          <c:idx val="3"/>
          <c:order val="1"/>
          <c:dPt>
            <c:idx val="2"/>
            <c:bubble3D val="0"/>
            <c:spPr>
              <a:solidFill>
                <a:schemeClr val="accent6"/>
              </a:solidFill>
            </c:spPr>
            <c:extLst>
              <c:ext xmlns:c16="http://schemas.microsoft.com/office/drawing/2014/chart" uri="{C3380CC4-5D6E-409C-BE32-E72D297353CC}">
                <c16:uniqueId val="{00000006-A236-4068-BF13-127A8A695B74}"/>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StateBiodieselPurchases!$I$13:$K$13</c:f>
              <c:strCache>
                <c:ptCount val="3"/>
                <c:pt idx="0">
                  <c:v>WSF</c:v>
                </c:pt>
                <c:pt idx="1">
                  <c:v>WSDOT</c:v>
                </c:pt>
                <c:pt idx="2">
                  <c:v>Other Agencies</c:v>
                </c:pt>
              </c:strCache>
            </c:strRef>
          </c:cat>
          <c:val>
            <c:numRef>
              <c:f>StateBiodieselPurchases!$I$16:$K$16</c:f>
              <c:numCache>
                <c:formatCode>0%</c:formatCode>
                <c:ptCount val="3"/>
                <c:pt idx="0">
                  <c:v>0.80680584845911885</c:v>
                </c:pt>
                <c:pt idx="1">
                  <c:v>0.12220444099283465</c:v>
                </c:pt>
                <c:pt idx="2">
                  <c:v>7.0989710548046592E-2</c:v>
                </c:pt>
              </c:numCache>
            </c:numRef>
          </c:val>
          <c:extLst>
            <c:ext xmlns:c16="http://schemas.microsoft.com/office/drawing/2014/chart" uri="{C3380CC4-5D6E-409C-BE32-E72D297353CC}">
              <c16:uniqueId val="{00000007-A236-4068-BF13-127A8A695B74}"/>
            </c:ext>
          </c:extLst>
        </c:ser>
        <c:ser>
          <c:idx val="1"/>
          <c:order val="2"/>
          <c:dPt>
            <c:idx val="2"/>
            <c:bubble3D val="0"/>
            <c:spPr>
              <a:solidFill>
                <a:schemeClr val="accent6"/>
              </a:solidFill>
            </c:spPr>
            <c:extLst>
              <c:ext xmlns:c16="http://schemas.microsoft.com/office/drawing/2014/chart" uri="{C3380CC4-5D6E-409C-BE32-E72D297353CC}">
                <c16:uniqueId val="{00000009-A236-4068-BF13-127A8A695B74}"/>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StateBiodieselPurchases!$I$13:$K$13</c:f>
              <c:strCache>
                <c:ptCount val="3"/>
                <c:pt idx="0">
                  <c:v>WSF</c:v>
                </c:pt>
                <c:pt idx="1">
                  <c:v>WSDOT</c:v>
                </c:pt>
                <c:pt idx="2">
                  <c:v>Other Agencies</c:v>
                </c:pt>
              </c:strCache>
            </c:strRef>
          </c:cat>
          <c:val>
            <c:numRef>
              <c:f>StateBiodieselPurchases!$I$16:$K$16</c:f>
              <c:numCache>
                <c:formatCode>0%</c:formatCode>
                <c:ptCount val="3"/>
                <c:pt idx="0">
                  <c:v>0.80680584845911885</c:v>
                </c:pt>
                <c:pt idx="1">
                  <c:v>0.12220444099283465</c:v>
                </c:pt>
                <c:pt idx="2">
                  <c:v>7.0989710548046592E-2</c:v>
                </c:pt>
              </c:numCache>
            </c:numRef>
          </c:val>
          <c:extLst>
            <c:ext xmlns:c16="http://schemas.microsoft.com/office/drawing/2014/chart" uri="{C3380CC4-5D6E-409C-BE32-E72D297353CC}">
              <c16:uniqueId val="{0000000A-A236-4068-BF13-127A8A695B74}"/>
            </c:ext>
          </c:extLst>
        </c:ser>
        <c:ser>
          <c:idx val="0"/>
          <c:order val="3"/>
          <c:dPt>
            <c:idx val="2"/>
            <c:bubble3D val="0"/>
            <c:spPr>
              <a:solidFill>
                <a:schemeClr val="accent6"/>
              </a:solidFill>
            </c:spPr>
            <c:extLst>
              <c:ext xmlns:c16="http://schemas.microsoft.com/office/drawing/2014/chart" uri="{C3380CC4-5D6E-409C-BE32-E72D297353CC}">
                <c16:uniqueId val="{0000000C-A236-4068-BF13-127A8A695B74}"/>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StateBiodieselPurchases!$I$13:$K$13</c:f>
              <c:strCache>
                <c:ptCount val="3"/>
                <c:pt idx="0">
                  <c:v>WSF</c:v>
                </c:pt>
                <c:pt idx="1">
                  <c:v>WSDOT</c:v>
                </c:pt>
                <c:pt idx="2">
                  <c:v>Other Agencies</c:v>
                </c:pt>
              </c:strCache>
            </c:strRef>
          </c:cat>
          <c:val>
            <c:numRef>
              <c:f>StateBiodieselPurchases!$I$16:$K$16</c:f>
              <c:numCache>
                <c:formatCode>0%</c:formatCode>
                <c:ptCount val="3"/>
                <c:pt idx="0">
                  <c:v>0.80680584845911885</c:v>
                </c:pt>
                <c:pt idx="1">
                  <c:v>0.12220444099283465</c:v>
                </c:pt>
                <c:pt idx="2">
                  <c:v>7.0989710548046592E-2</c:v>
                </c:pt>
              </c:numCache>
            </c:numRef>
          </c:val>
          <c:extLst>
            <c:ext xmlns:c16="http://schemas.microsoft.com/office/drawing/2014/chart" uri="{C3380CC4-5D6E-409C-BE32-E72D297353CC}">
              <c16:uniqueId val="{0000000D-A236-4068-BF13-127A8A695B74}"/>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50833584542837962"/>
          <c:y val="0.40276140266479499"/>
          <c:w val="0.33272852586081714"/>
          <c:h val="0.37090794631308188"/>
        </c:manualLayout>
      </c:layout>
      <c:overlay val="0"/>
      <c:txPr>
        <a:bodyPr/>
        <a:lstStyle/>
        <a:p>
          <a:pPr rtl="0">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a:pPr>
            <a:r>
              <a:rPr lang="en-US" sz="950" b="1" i="0" u="none" strike="noStrike" baseline="0">
                <a:latin typeface="Arial" pitchFamily="34" charset="0"/>
                <a:cs typeface="Arial" pitchFamily="34" charset="0"/>
              </a:rPr>
              <a:t>Agency Biodiesel Fuel Purchases: 2020</a:t>
            </a:r>
            <a:br>
              <a:rPr lang="en-US" sz="950" b="0" i="0" u="none" strike="noStrike" baseline="0">
                <a:latin typeface="Arial" pitchFamily="34" charset="0"/>
                <a:cs typeface="Arial" pitchFamily="34" charset="0"/>
              </a:rPr>
            </a:br>
            <a:r>
              <a:rPr lang="en-US" sz="950" b="0" i="0" u="none" strike="noStrike" kern="1200" baseline="0">
                <a:solidFill>
                  <a:sysClr val="windowText" lastClr="000000"/>
                </a:solidFill>
                <a:latin typeface="Arial" pitchFamily="34" charset="0"/>
                <a:ea typeface="+mn-ea"/>
                <a:cs typeface="Arial" pitchFamily="34" charset="0"/>
              </a:rPr>
              <a:t>1,744,875 Gallons</a:t>
            </a:r>
          </a:p>
        </c:rich>
      </c:tx>
      <c:layout>
        <c:manualLayout>
          <c:xMode val="edge"/>
          <c:yMode val="edge"/>
          <c:x val="0.1340118753656924"/>
          <c:y val="4.8309178743961352E-2"/>
        </c:manualLayout>
      </c:layout>
      <c:overlay val="0"/>
    </c:title>
    <c:autoTitleDeleted val="0"/>
    <c:plotArea>
      <c:layout>
        <c:manualLayout>
          <c:layoutTarget val="inner"/>
          <c:xMode val="edge"/>
          <c:yMode val="edge"/>
          <c:x val="7.9815917792156132E-2"/>
          <c:y val="0.37000252362945668"/>
          <c:w val="0.4207915078529853"/>
          <c:h val="0.51626525343093299"/>
        </c:manualLayout>
      </c:layout>
      <c:pieChart>
        <c:varyColors val="1"/>
        <c:ser>
          <c:idx val="2"/>
          <c:order val="0"/>
          <c:dPt>
            <c:idx val="2"/>
            <c:bubble3D val="0"/>
            <c:spPr>
              <a:solidFill>
                <a:schemeClr val="accent3"/>
              </a:solidFill>
            </c:spPr>
            <c:extLst>
              <c:ext xmlns:c16="http://schemas.microsoft.com/office/drawing/2014/chart" uri="{C3380CC4-5D6E-409C-BE32-E72D297353CC}">
                <c16:uniqueId val="{00000001-561F-4227-BDC0-777630992A26}"/>
              </c:ext>
            </c:extLst>
          </c:dPt>
          <c:dLbls>
            <c:dLbl>
              <c:idx val="0"/>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2-561F-4227-BDC0-777630992A26}"/>
                </c:ext>
              </c:extLst>
            </c:dLbl>
            <c:dLbl>
              <c:idx val="1"/>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561F-4227-BDC0-777630992A26}"/>
                </c:ext>
              </c:extLst>
            </c:dLbl>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StateBiodieselPurchases!$I$19:$K$19</c:f>
              <c:strCache>
                <c:ptCount val="3"/>
                <c:pt idx="0">
                  <c:v>WSF</c:v>
                </c:pt>
                <c:pt idx="1">
                  <c:v>WSDOT</c:v>
                </c:pt>
                <c:pt idx="2">
                  <c:v>Other Agencies</c:v>
                </c:pt>
              </c:strCache>
            </c:strRef>
          </c:cat>
          <c:val>
            <c:numRef>
              <c:f>StateBiodieselPurchases!$I$22:$K$22</c:f>
              <c:numCache>
                <c:formatCode>0%</c:formatCode>
                <c:ptCount val="3"/>
                <c:pt idx="0">
                  <c:v>0.82991700542246161</c:v>
                </c:pt>
                <c:pt idx="1">
                  <c:v>0.16216630340100377</c:v>
                </c:pt>
                <c:pt idx="2">
                  <c:v>7.9166911765346411E-3</c:v>
                </c:pt>
              </c:numCache>
            </c:numRef>
          </c:val>
          <c:extLst>
            <c:ext xmlns:c16="http://schemas.microsoft.com/office/drawing/2014/chart" uri="{C3380CC4-5D6E-409C-BE32-E72D297353CC}">
              <c16:uniqueId val="{00000004-561F-4227-BDC0-777630992A26}"/>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50833584542837962"/>
          <c:y val="0.40276140266479499"/>
          <c:w val="0.33272852586081714"/>
          <c:h val="0.37090794631308188"/>
        </c:manualLayout>
      </c:layout>
      <c:overlay val="0"/>
      <c:txPr>
        <a:bodyPr/>
        <a:lstStyle/>
        <a:p>
          <a:pPr rtl="0">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State Ferries Biodiesel </a:t>
            </a:r>
            <a:r>
              <a:rPr lang="en-US" sz="1400" b="0" i="0" u="none" strike="noStrike" kern="1200" spc="0" baseline="0">
                <a:solidFill>
                  <a:sysClr val="windowText" lastClr="000000"/>
                </a:solidFill>
                <a:latin typeface="Arial" panose="020B0604020202020204" pitchFamily="34" charset="0"/>
                <a:ea typeface="+mn-ea"/>
                <a:cs typeface="Arial" panose="020B0604020202020204" pitchFamily="34" charset="0"/>
              </a:rPr>
              <a:t>Percent</a:t>
            </a:r>
            <a:r>
              <a:rPr lang="en-US">
                <a:latin typeface="Arial" panose="020B0604020202020204" pitchFamily="34" charset="0"/>
                <a:cs typeface="Arial" panose="020B0604020202020204" pitchFamily="34" charset="0"/>
              </a:rPr>
              <a:t>ages: 2019 - 2020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StateFerryUse!$E$3</c:f>
              <c:strCache>
                <c:ptCount val="1"/>
                <c:pt idx="0">
                  <c:v>WSF-Biodiesel%</c:v>
                </c:pt>
              </c:strCache>
            </c:strRef>
          </c:tx>
          <c:spPr>
            <a:solidFill>
              <a:schemeClr val="accent1"/>
            </a:solidFill>
            <a:ln>
              <a:noFill/>
            </a:ln>
            <a:effectLst/>
          </c:spPr>
          <c:invertIfNegative val="0"/>
          <c:dPt>
            <c:idx val="11"/>
            <c:invertIfNegative val="0"/>
            <c:bubble3D val="0"/>
            <c:spPr>
              <a:solidFill>
                <a:schemeClr val="accent6">
                  <a:lumMod val="75000"/>
                </a:schemeClr>
              </a:solidFill>
              <a:ln>
                <a:noFill/>
              </a:ln>
              <a:effectLst/>
            </c:spPr>
            <c:extLst>
              <c:ext xmlns:c16="http://schemas.microsoft.com/office/drawing/2014/chart" uri="{C3380CC4-5D6E-409C-BE32-E72D297353CC}">
                <c16:uniqueId val="{00000001-0D20-49AE-A691-8B8790A3DD3E}"/>
              </c:ext>
            </c:extLst>
          </c:dPt>
          <c:dLbls>
            <c:dLbl>
              <c:idx val="11"/>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0D20-49AE-A691-8B8790A3DD3E}"/>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StateFerryUse!$B$4:$B$15</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StateFerryUse!$E$4:$E$15</c:f>
              <c:numCache>
                <c:formatCode>0.0%</c:formatCode>
                <c:ptCount val="12"/>
                <c:pt idx="0">
                  <c:v>6.0551711455018318E-3</c:v>
                </c:pt>
                <c:pt idx="1">
                  <c:v>1.2920912491703448E-2</c:v>
                </c:pt>
                <c:pt idx="2">
                  <c:v>2.6674062141904938E-2</c:v>
                </c:pt>
                <c:pt idx="3">
                  <c:v>2.8171119985030701E-2</c:v>
                </c:pt>
                <c:pt idx="4">
                  <c:v>3.9549206181982668E-2</c:v>
                </c:pt>
                <c:pt idx="5">
                  <c:v>4.161745702645623E-2</c:v>
                </c:pt>
                <c:pt idx="6">
                  <c:v>3.9793862292452839E-2</c:v>
                </c:pt>
                <c:pt idx="7">
                  <c:v>4.3413918893420077E-2</c:v>
                </c:pt>
                <c:pt idx="8">
                  <c:v>4.681087914665142E-2</c:v>
                </c:pt>
                <c:pt idx="9">
                  <c:v>4.5227215999103461E-2</c:v>
                </c:pt>
                <c:pt idx="10">
                  <c:v>6.3769850179878546E-2</c:v>
                </c:pt>
                <c:pt idx="11">
                  <c:v>9.750733458705825E-2</c:v>
                </c:pt>
              </c:numCache>
            </c:numRef>
          </c:val>
          <c:extLst>
            <c:ext xmlns:c16="http://schemas.microsoft.com/office/drawing/2014/chart" uri="{C3380CC4-5D6E-409C-BE32-E72D297353CC}">
              <c16:uniqueId val="{00000002-0D20-49AE-A691-8B8790A3DD3E}"/>
            </c:ext>
          </c:extLst>
        </c:ser>
        <c:dLbls>
          <c:dLblPos val="outEnd"/>
          <c:showLegendKey val="0"/>
          <c:showVal val="1"/>
          <c:showCatName val="0"/>
          <c:showSerName val="0"/>
          <c:showPercent val="0"/>
          <c:showBubbleSize val="0"/>
        </c:dLbls>
        <c:gapWidth val="100"/>
        <c:overlap val="-27"/>
        <c:axId val="749644560"/>
        <c:axId val="749630832"/>
      </c:barChart>
      <c:catAx>
        <c:axId val="74964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49630832"/>
        <c:crosses val="autoZero"/>
        <c:auto val="1"/>
        <c:lblAlgn val="ctr"/>
        <c:lblOffset val="100"/>
        <c:noMultiLvlLbl val="0"/>
      </c:catAx>
      <c:valAx>
        <c:axId val="74963083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crossAx val="74964456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State Agency </a:t>
            </a:r>
            <a:r>
              <a:rPr lang="en-US" sz="10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a:t>
            </a:r>
            <a:r>
              <a:rPr lang="en-US" sz="1000" b="1" baseline="0">
                <a:latin typeface="Arial" panose="020B0604020202020204" pitchFamily="34" charset="0"/>
                <a:cs typeface="Arial" panose="020B0604020202020204" pitchFamily="34" charset="0"/>
              </a:rPr>
              <a:t> Biodiesel Use - Land Sector</a:t>
            </a:r>
          </a:p>
          <a:p>
            <a:pPr>
              <a:defRPr/>
            </a:pPr>
            <a:r>
              <a:rPr lang="en-US" sz="1000" baseline="0">
                <a:latin typeface="Arial" panose="020B0604020202020204" pitchFamily="34" charset="0"/>
                <a:cs typeface="Arial" panose="020B0604020202020204" pitchFamily="34" charset="0"/>
              </a:rPr>
              <a:t>2007-2020</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133330359200849E-2"/>
          <c:y val="0.19907407407407407"/>
          <c:w val="0.8978987754009502"/>
          <c:h val="0.65287037037037043"/>
        </c:manualLayout>
      </c:layout>
      <c:lineChart>
        <c:grouping val="standard"/>
        <c:varyColors val="0"/>
        <c:ser>
          <c:idx val="0"/>
          <c:order val="0"/>
          <c:spPr>
            <a:ln w="28575" cap="rnd">
              <a:solidFill>
                <a:srgbClr val="3E7812"/>
              </a:solidFill>
              <a:round/>
            </a:ln>
            <a:effectLst/>
          </c:spPr>
          <c:marker>
            <c:symbol val="square"/>
            <c:size val="6"/>
            <c:spPr>
              <a:solidFill>
                <a:srgbClr val="70AD47">
                  <a:lumMod val="75000"/>
                </a:srgbClr>
              </a:solidFill>
              <a:ln w="9525">
                <a:solidFill>
                  <a:srgbClr val="70AD47">
                    <a:lumMod val="75000"/>
                  </a:srgbClr>
                </a:solidFill>
              </a:ln>
              <a:effectLst/>
            </c:spPr>
          </c:marker>
          <c:dLbls>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1D36-4680-B210-E88658A5225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LandSectorUse!$B$11:$B$24</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LandSectorUse!$C$11:$C$24</c:f>
              <c:numCache>
                <c:formatCode>0.0%</c:formatCode>
                <c:ptCount val="14"/>
                <c:pt idx="0">
                  <c:v>1.7106115252159736E-2</c:v>
                </c:pt>
                <c:pt idx="1">
                  <c:v>3.8225359507309965E-2</c:v>
                </c:pt>
                <c:pt idx="2">
                  <c:v>5.7008518827550939E-2</c:v>
                </c:pt>
                <c:pt idx="3">
                  <c:v>9.373234139255017E-2</c:v>
                </c:pt>
                <c:pt idx="4">
                  <c:v>0.12839491473173761</c:v>
                </c:pt>
                <c:pt idx="5">
                  <c:v>0.10675363604611578</c:v>
                </c:pt>
                <c:pt idx="6">
                  <c:v>0.12071960723871067</c:v>
                </c:pt>
                <c:pt idx="7">
                  <c:v>0.12057633115647454</c:v>
                </c:pt>
                <c:pt idx="8">
                  <c:v>0.13133456745273828</c:v>
                </c:pt>
                <c:pt idx="9">
                  <c:v>0.12872347991843328</c:v>
                </c:pt>
                <c:pt idx="10">
                  <c:v>0.10338708875821481</c:v>
                </c:pt>
                <c:pt idx="11">
                  <c:v>9.1929436593375088E-2</c:v>
                </c:pt>
                <c:pt idx="12">
                  <c:v>9.4656999442275513E-2</c:v>
                </c:pt>
                <c:pt idx="13">
                  <c:v>8.3153887971591428E-2</c:v>
                </c:pt>
              </c:numCache>
            </c:numRef>
          </c:val>
          <c:smooth val="0"/>
          <c:extLst>
            <c:ext xmlns:c16="http://schemas.microsoft.com/office/drawing/2014/chart" uri="{C3380CC4-5D6E-409C-BE32-E72D297353CC}">
              <c16:uniqueId val="{00000001-1D36-4680-B210-E88658A5225E}"/>
            </c:ext>
          </c:extLst>
        </c:ser>
        <c:dLbls>
          <c:showLegendKey val="0"/>
          <c:showVal val="0"/>
          <c:showCatName val="0"/>
          <c:showSerName val="0"/>
          <c:showPercent val="0"/>
          <c:showBubbleSize val="0"/>
        </c:dLbls>
        <c:marker val="1"/>
        <c:smooth val="0"/>
        <c:axId val="284630592"/>
        <c:axId val="284630984"/>
      </c:lineChart>
      <c:catAx>
        <c:axId val="284630592"/>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4630984"/>
        <c:crosses val="autoZero"/>
        <c:auto val="1"/>
        <c:lblAlgn val="ctr"/>
        <c:lblOffset val="100"/>
        <c:noMultiLvlLbl val="0"/>
      </c:catAx>
      <c:valAx>
        <c:axId val="284630984"/>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4630592"/>
        <c:crosses val="autoZero"/>
        <c:crossBetween val="between"/>
        <c:majorUnit val="5.000000000000001E-2"/>
      </c:valAx>
      <c:spPr>
        <a:noFill/>
        <a:ln>
          <a:solidFill>
            <a:srgbClr val="3E7812">
              <a:alpha val="93000"/>
            </a:srgbClr>
          </a:solidFill>
        </a:ln>
        <a:effectLst/>
      </c:spPr>
    </c:plotArea>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100">
                <a:latin typeface="Arial" pitchFamily="34" charset="0"/>
                <a:cs typeface="Arial" pitchFamily="34" charset="0"/>
              </a:rPr>
              <a:t>WSDOT Biodiesel </a:t>
            </a:r>
            <a:r>
              <a:rPr lang="en-US" sz="1100" b="1" i="0" u="none" strike="noStrike" kern="1200" baseline="0">
                <a:solidFill>
                  <a:sysClr val="windowText" lastClr="000000"/>
                </a:solidFill>
                <a:latin typeface="Arial" pitchFamily="34" charset="0"/>
                <a:ea typeface="+mn-ea"/>
                <a:cs typeface="Arial" pitchFamily="34" charset="0"/>
              </a:rPr>
              <a:t>%</a:t>
            </a:r>
            <a:r>
              <a:rPr lang="en-US" sz="1100">
                <a:latin typeface="Arial" pitchFamily="34" charset="0"/>
                <a:cs typeface="Arial" pitchFamily="34" charset="0"/>
              </a:rPr>
              <a:t> of Total Diesel Purchased</a:t>
            </a:r>
            <a:br>
              <a:rPr lang="en-US" sz="1100">
                <a:latin typeface="Arial" pitchFamily="34" charset="0"/>
                <a:cs typeface="Arial" pitchFamily="34" charset="0"/>
              </a:rPr>
            </a:br>
            <a:r>
              <a:rPr lang="en-US" sz="1000">
                <a:latin typeface="Arial" pitchFamily="34" charset="0"/>
                <a:cs typeface="Arial" pitchFamily="34" charset="0"/>
              </a:rPr>
              <a:t>Statewide and By Region,</a:t>
            </a:r>
            <a:r>
              <a:rPr lang="en-US" sz="1000" baseline="0">
                <a:latin typeface="Arial" pitchFamily="34" charset="0"/>
                <a:cs typeface="Arial" pitchFamily="34" charset="0"/>
              </a:rPr>
              <a:t> 2007 to current</a:t>
            </a:r>
            <a:endParaRPr lang="en-US" sz="1000">
              <a:latin typeface="Arial" pitchFamily="34" charset="0"/>
              <a:cs typeface="Arial" pitchFamily="34" charset="0"/>
            </a:endParaRPr>
          </a:p>
        </c:rich>
      </c:tx>
      <c:layout>
        <c:manualLayout>
          <c:xMode val="edge"/>
          <c:yMode val="edge"/>
          <c:x val="0.16943194600674921"/>
          <c:y val="6.0129110699397845E-2"/>
        </c:manualLayout>
      </c:layout>
      <c:overlay val="0"/>
    </c:title>
    <c:autoTitleDeleted val="0"/>
    <c:plotArea>
      <c:layout>
        <c:manualLayout>
          <c:layoutTarget val="inner"/>
          <c:xMode val="edge"/>
          <c:yMode val="edge"/>
          <c:x val="0.1572256422492643"/>
          <c:y val="0.27735788199616934"/>
          <c:w val="0.76762197771636165"/>
          <c:h val="0.55324635759815732"/>
        </c:manualLayout>
      </c:layout>
      <c:barChart>
        <c:barDir val="col"/>
        <c:grouping val="clustered"/>
        <c:varyColors val="0"/>
        <c:ser>
          <c:idx val="2"/>
          <c:order val="2"/>
          <c:tx>
            <c:strRef>
              <c:f>WSDOTRegionalPurchases!$E$2</c:f>
              <c:strCache>
                <c:ptCount val="1"/>
                <c:pt idx="0">
                  <c:v>Statewide</c:v>
                </c:pt>
              </c:strCache>
            </c:strRef>
          </c:tx>
          <c:invertIfNegative val="0"/>
          <c:dLbls>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35-4100-BF38-B2D6F97556A0}"/>
                </c:ext>
              </c:extLst>
            </c:dLbl>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ext>
            </c:extLst>
          </c:dLbls>
          <c:cat>
            <c:strRef>
              <c:f>WSDOTRegionalPurchases!$B$3:$B$18</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WSDOTRegionalPurchases!$E$3:$E$18</c:f>
              <c:numCache>
                <c:formatCode>0.0%</c:formatCode>
                <c:ptCount val="14"/>
                <c:pt idx="0">
                  <c:v>1.168180747472655E-2</c:v>
                </c:pt>
                <c:pt idx="1">
                  <c:v>4.3667085993655291E-2</c:v>
                </c:pt>
                <c:pt idx="2">
                  <c:v>5.3588793989364267E-2</c:v>
                </c:pt>
                <c:pt idx="3">
                  <c:v>9.8500000000000004E-2</c:v>
                </c:pt>
                <c:pt idx="4">
                  <c:v>0.13020000000000001</c:v>
                </c:pt>
                <c:pt idx="5">
                  <c:v>0.1114</c:v>
                </c:pt>
                <c:pt idx="6">
                  <c:v>0.128</c:v>
                </c:pt>
                <c:pt idx="7">
                  <c:v>0.13200000000000001</c:v>
                </c:pt>
                <c:pt idx="8">
                  <c:v>0.14449999999999999</c:v>
                </c:pt>
                <c:pt idx="9">
                  <c:v>0.14099999999999999</c:v>
                </c:pt>
                <c:pt idx="10">
                  <c:v>0.14000000000000001</c:v>
                </c:pt>
                <c:pt idx="11">
                  <c:v>0.15</c:v>
                </c:pt>
                <c:pt idx="12">
                  <c:v>0.13800000000000001</c:v>
                </c:pt>
                <c:pt idx="13">
                  <c:v>0.13700000000000001</c:v>
                </c:pt>
              </c:numCache>
            </c:numRef>
          </c:val>
          <c:extLst>
            <c:ext xmlns:c16="http://schemas.microsoft.com/office/drawing/2014/chart" uri="{C3380CC4-5D6E-409C-BE32-E72D297353CC}">
              <c16:uniqueId val="{00000001-D835-4100-BF38-B2D6F97556A0}"/>
            </c:ext>
          </c:extLst>
        </c:ser>
        <c:dLbls>
          <c:dLblPos val="outEnd"/>
          <c:showLegendKey val="0"/>
          <c:showVal val="1"/>
          <c:showCatName val="0"/>
          <c:showSerName val="0"/>
          <c:showPercent val="0"/>
          <c:showBubbleSize val="0"/>
        </c:dLbls>
        <c:gapWidth val="83"/>
        <c:axId val="222239968"/>
        <c:axId val="222239576"/>
      </c:barChart>
      <c:lineChart>
        <c:grouping val="standard"/>
        <c:varyColors val="0"/>
        <c:ser>
          <c:idx val="0"/>
          <c:order val="0"/>
          <c:tx>
            <c:strRef>
              <c:f>WSDOTRegionalPurchases!$C$2</c:f>
              <c:strCache>
                <c:ptCount val="1"/>
                <c:pt idx="0">
                  <c:v>Western Washington</c:v>
                </c:pt>
              </c:strCache>
            </c:strRef>
          </c:tx>
          <c:marker>
            <c:symbol val="square"/>
            <c:size val="5"/>
          </c:marker>
          <c:dLbls>
            <c:dLbl>
              <c:idx val="0"/>
              <c:delete val="1"/>
              <c:extLst>
                <c:ext xmlns:c15="http://schemas.microsoft.com/office/drawing/2012/chart" uri="{CE6537A1-D6FC-4f65-9D91-7224C49458BB}"/>
                <c:ext xmlns:c16="http://schemas.microsoft.com/office/drawing/2014/chart" uri="{C3380CC4-5D6E-409C-BE32-E72D297353CC}">
                  <c16:uniqueId val="{00000002-D835-4100-BF38-B2D6F97556A0}"/>
                </c:ext>
              </c:extLst>
            </c:dLbl>
            <c:dLbl>
              <c:idx val="1"/>
              <c:delete val="1"/>
              <c:extLst>
                <c:ext xmlns:c15="http://schemas.microsoft.com/office/drawing/2012/chart" uri="{CE6537A1-D6FC-4f65-9D91-7224C49458BB}"/>
                <c:ext xmlns:c16="http://schemas.microsoft.com/office/drawing/2014/chart" uri="{C3380CC4-5D6E-409C-BE32-E72D297353CC}">
                  <c16:uniqueId val="{00000003-D835-4100-BF38-B2D6F97556A0}"/>
                </c:ext>
              </c:extLst>
            </c:dLbl>
            <c:dLbl>
              <c:idx val="2"/>
              <c:delete val="1"/>
              <c:extLst>
                <c:ext xmlns:c15="http://schemas.microsoft.com/office/drawing/2012/chart" uri="{CE6537A1-D6FC-4f65-9D91-7224C49458BB}"/>
                <c:ext xmlns:c16="http://schemas.microsoft.com/office/drawing/2014/chart" uri="{C3380CC4-5D6E-409C-BE32-E72D297353CC}">
                  <c16:uniqueId val="{00000004-D835-4100-BF38-B2D6F97556A0}"/>
                </c:ext>
              </c:extLst>
            </c:dLbl>
            <c:dLbl>
              <c:idx val="3"/>
              <c:delete val="1"/>
              <c:extLst>
                <c:ext xmlns:c15="http://schemas.microsoft.com/office/drawing/2012/chart" uri="{CE6537A1-D6FC-4f65-9D91-7224C49458BB}"/>
                <c:ext xmlns:c16="http://schemas.microsoft.com/office/drawing/2014/chart" uri="{C3380CC4-5D6E-409C-BE32-E72D297353CC}">
                  <c16:uniqueId val="{00000005-D835-4100-BF38-B2D6F97556A0}"/>
                </c:ext>
              </c:extLst>
            </c:dLbl>
            <c:dLbl>
              <c:idx val="4"/>
              <c:delete val="1"/>
              <c:extLst>
                <c:ext xmlns:c15="http://schemas.microsoft.com/office/drawing/2012/chart" uri="{CE6537A1-D6FC-4f65-9D91-7224C49458BB}"/>
                <c:ext xmlns:c16="http://schemas.microsoft.com/office/drawing/2014/chart" uri="{C3380CC4-5D6E-409C-BE32-E72D297353CC}">
                  <c16:uniqueId val="{00000006-D835-4100-BF38-B2D6F97556A0}"/>
                </c:ext>
              </c:extLst>
            </c:dLbl>
            <c:dLbl>
              <c:idx val="5"/>
              <c:delete val="1"/>
              <c:extLst>
                <c:ext xmlns:c15="http://schemas.microsoft.com/office/drawing/2012/chart" uri="{CE6537A1-D6FC-4f65-9D91-7224C49458BB}"/>
                <c:ext xmlns:c16="http://schemas.microsoft.com/office/drawing/2014/chart" uri="{C3380CC4-5D6E-409C-BE32-E72D297353CC}">
                  <c16:uniqueId val="{00000007-D835-4100-BF38-B2D6F97556A0}"/>
                </c:ext>
              </c:extLst>
            </c:dLbl>
            <c:dLbl>
              <c:idx val="6"/>
              <c:delete val="1"/>
              <c:extLst>
                <c:ext xmlns:c15="http://schemas.microsoft.com/office/drawing/2012/chart" uri="{CE6537A1-D6FC-4f65-9D91-7224C49458BB}"/>
                <c:ext xmlns:c16="http://schemas.microsoft.com/office/drawing/2014/chart" uri="{C3380CC4-5D6E-409C-BE32-E72D297353CC}">
                  <c16:uniqueId val="{00000008-D835-4100-BF38-B2D6F97556A0}"/>
                </c:ext>
              </c:extLst>
            </c:dLbl>
            <c:dLbl>
              <c:idx val="7"/>
              <c:delete val="1"/>
              <c:extLst>
                <c:ext xmlns:c15="http://schemas.microsoft.com/office/drawing/2012/chart" uri="{CE6537A1-D6FC-4f65-9D91-7224C49458BB}"/>
                <c:ext xmlns:c16="http://schemas.microsoft.com/office/drawing/2014/chart" uri="{C3380CC4-5D6E-409C-BE32-E72D297353CC}">
                  <c16:uniqueId val="{00000009-D835-4100-BF38-B2D6F97556A0}"/>
                </c:ext>
              </c:extLst>
            </c:dLbl>
            <c:dLbl>
              <c:idx val="8"/>
              <c:delete val="1"/>
              <c:extLst>
                <c:ext xmlns:c15="http://schemas.microsoft.com/office/drawing/2012/chart" uri="{CE6537A1-D6FC-4f65-9D91-7224C49458BB}"/>
                <c:ext xmlns:c16="http://schemas.microsoft.com/office/drawing/2014/chart" uri="{C3380CC4-5D6E-409C-BE32-E72D297353CC}">
                  <c16:uniqueId val="{0000000A-D835-4100-BF38-B2D6F97556A0}"/>
                </c:ext>
              </c:extLst>
            </c:dLbl>
            <c:dLbl>
              <c:idx val="9"/>
              <c:delete val="1"/>
              <c:extLst>
                <c:ext xmlns:c15="http://schemas.microsoft.com/office/drawing/2012/chart" uri="{CE6537A1-D6FC-4f65-9D91-7224C49458BB}"/>
                <c:ext xmlns:c16="http://schemas.microsoft.com/office/drawing/2014/chart" uri="{C3380CC4-5D6E-409C-BE32-E72D297353CC}">
                  <c16:uniqueId val="{0000000B-D835-4100-BF38-B2D6F97556A0}"/>
                </c:ext>
              </c:extLst>
            </c:dLbl>
            <c:dLbl>
              <c:idx val="10"/>
              <c:delete val="1"/>
              <c:extLst>
                <c:ext xmlns:c15="http://schemas.microsoft.com/office/drawing/2012/chart" uri="{CE6537A1-D6FC-4f65-9D91-7224C49458BB}"/>
                <c:ext xmlns:c16="http://schemas.microsoft.com/office/drawing/2014/chart" uri="{C3380CC4-5D6E-409C-BE32-E72D297353CC}">
                  <c16:uniqueId val="{0000000C-D835-4100-BF38-B2D6F97556A0}"/>
                </c:ext>
              </c:extLst>
            </c:dLbl>
            <c:dLbl>
              <c:idx val="11"/>
              <c:delete val="1"/>
              <c:extLst>
                <c:ext xmlns:c15="http://schemas.microsoft.com/office/drawing/2012/chart" uri="{CE6537A1-D6FC-4f65-9D91-7224C49458BB}"/>
                <c:ext xmlns:c16="http://schemas.microsoft.com/office/drawing/2014/chart" uri="{C3380CC4-5D6E-409C-BE32-E72D297353CC}">
                  <c16:uniqueId val="{0000000D-D835-4100-BF38-B2D6F97556A0}"/>
                </c:ext>
              </c:extLst>
            </c:dLbl>
            <c:dLbl>
              <c:idx val="12"/>
              <c:delete val="1"/>
              <c:extLst>
                <c:ext xmlns:c15="http://schemas.microsoft.com/office/drawing/2012/chart" uri="{CE6537A1-D6FC-4f65-9D91-7224C49458BB}"/>
                <c:ext xmlns:c16="http://schemas.microsoft.com/office/drawing/2014/chart" uri="{C3380CC4-5D6E-409C-BE32-E72D297353CC}">
                  <c16:uniqueId val="{0000000E-D835-4100-BF38-B2D6F97556A0}"/>
                </c:ext>
              </c:extLst>
            </c:dLbl>
            <c:dLbl>
              <c:idx val="13"/>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F-D835-4100-BF38-B2D6F97556A0}"/>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WSDOTRegionalPurchases!$B$3:$B$18</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WSDOTRegionalPurchases!$C$3:$C$18</c:f>
              <c:numCache>
                <c:formatCode>0.0%</c:formatCode>
                <c:ptCount val="14"/>
                <c:pt idx="0">
                  <c:v>2.2734731879744001E-2</c:v>
                </c:pt>
                <c:pt idx="1">
                  <c:v>8.6287084876022935E-2</c:v>
                </c:pt>
                <c:pt idx="2">
                  <c:v>0.10088736775758107</c:v>
                </c:pt>
                <c:pt idx="3">
                  <c:v>0.17649999999999999</c:v>
                </c:pt>
                <c:pt idx="4">
                  <c:v>0.20749999999999999</c:v>
                </c:pt>
                <c:pt idx="5">
                  <c:v>0.16200000000000001</c:v>
                </c:pt>
                <c:pt idx="6">
                  <c:v>0.161</c:v>
                </c:pt>
                <c:pt idx="7">
                  <c:v>0.157</c:v>
                </c:pt>
                <c:pt idx="8">
                  <c:v>0.17799999999999999</c:v>
                </c:pt>
                <c:pt idx="9">
                  <c:v>0.16800000000000001</c:v>
                </c:pt>
                <c:pt idx="10">
                  <c:v>0.19</c:v>
                </c:pt>
                <c:pt idx="11">
                  <c:v>0.19</c:v>
                </c:pt>
                <c:pt idx="12">
                  <c:v>0.17899999999999999</c:v>
                </c:pt>
                <c:pt idx="13">
                  <c:v>0.189</c:v>
                </c:pt>
              </c:numCache>
            </c:numRef>
          </c:val>
          <c:smooth val="0"/>
          <c:extLst>
            <c:ext xmlns:c16="http://schemas.microsoft.com/office/drawing/2014/chart" uri="{C3380CC4-5D6E-409C-BE32-E72D297353CC}">
              <c16:uniqueId val="{00000010-D835-4100-BF38-B2D6F97556A0}"/>
            </c:ext>
          </c:extLst>
        </c:ser>
        <c:ser>
          <c:idx val="1"/>
          <c:order val="1"/>
          <c:tx>
            <c:strRef>
              <c:f>WSDOTRegionalPurchases!$D$2</c:f>
              <c:strCache>
                <c:ptCount val="1"/>
                <c:pt idx="0">
                  <c:v>Eastern Washington</c:v>
                </c:pt>
              </c:strCache>
            </c:strRef>
          </c:tx>
          <c:marker>
            <c:symbol val="square"/>
            <c:size val="5"/>
          </c:marker>
          <c:dLbls>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835-4100-BF38-B2D6F97556A0}"/>
                </c:ext>
              </c:extLst>
            </c:dLbl>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WSDOTRegionalPurchases!$B$3:$B$18</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WSDOTRegionalPurchases!$D$3:$D$18</c:f>
              <c:numCache>
                <c:formatCode>0.0%</c:formatCode>
                <c:ptCount val="14"/>
                <c:pt idx="0">
                  <c:v>1.1010337351654759E-4</c:v>
                </c:pt>
                <c:pt idx="1">
                  <c:v>0</c:v>
                </c:pt>
                <c:pt idx="2">
                  <c:v>0</c:v>
                </c:pt>
                <c:pt idx="3">
                  <c:v>1.49E-2</c:v>
                </c:pt>
                <c:pt idx="4">
                  <c:v>4.4400000000000002E-2</c:v>
                </c:pt>
                <c:pt idx="5">
                  <c:v>6.0199999999999997E-2</c:v>
                </c:pt>
                <c:pt idx="6">
                  <c:v>9.2999999999999999E-2</c:v>
                </c:pt>
                <c:pt idx="7">
                  <c:v>0.112</c:v>
                </c:pt>
                <c:pt idx="8">
                  <c:v>0.114</c:v>
                </c:pt>
                <c:pt idx="9">
                  <c:v>0.11800000000000001</c:v>
                </c:pt>
                <c:pt idx="10">
                  <c:v>0.1</c:v>
                </c:pt>
                <c:pt idx="11">
                  <c:v>0.11</c:v>
                </c:pt>
                <c:pt idx="12">
                  <c:v>0.106</c:v>
                </c:pt>
                <c:pt idx="13">
                  <c:v>9.7000000000000003E-2</c:v>
                </c:pt>
              </c:numCache>
            </c:numRef>
          </c:val>
          <c:smooth val="0"/>
          <c:extLst>
            <c:ext xmlns:c16="http://schemas.microsoft.com/office/drawing/2014/chart" uri="{C3380CC4-5D6E-409C-BE32-E72D297353CC}">
              <c16:uniqueId val="{00000012-D835-4100-BF38-B2D6F97556A0}"/>
            </c:ext>
          </c:extLst>
        </c:ser>
        <c:dLbls>
          <c:showLegendKey val="0"/>
          <c:showVal val="1"/>
          <c:showCatName val="0"/>
          <c:showSerName val="0"/>
          <c:showPercent val="0"/>
          <c:showBubbleSize val="0"/>
        </c:dLbls>
        <c:marker val="1"/>
        <c:smooth val="0"/>
        <c:axId val="222238792"/>
        <c:axId val="222239184"/>
      </c:lineChart>
      <c:catAx>
        <c:axId val="222238792"/>
        <c:scaling>
          <c:orientation val="minMax"/>
        </c:scaling>
        <c:delete val="0"/>
        <c:axPos val="b"/>
        <c:numFmt formatCode="General"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222239184"/>
        <c:crosses val="autoZero"/>
        <c:auto val="1"/>
        <c:lblAlgn val="ctr"/>
        <c:lblOffset val="100"/>
        <c:noMultiLvlLbl val="0"/>
      </c:catAx>
      <c:valAx>
        <c:axId val="222239184"/>
        <c:scaling>
          <c:orientation val="minMax"/>
          <c:max val="0.25"/>
        </c:scaling>
        <c:delete val="0"/>
        <c:axPos val="l"/>
        <c:majorGridlines>
          <c:spPr>
            <a:ln>
              <a:noFill/>
            </a:ln>
          </c:spPr>
        </c:majorGridlines>
        <c:title>
          <c:tx>
            <c:rich>
              <a:bodyPr rot="-5400000" vert="horz"/>
              <a:lstStyle/>
              <a:p>
                <a:pPr>
                  <a:defRPr sz="1000" b="1">
                    <a:latin typeface="Arial" panose="020B0604020202020204" pitchFamily="34" charset="0"/>
                    <a:cs typeface="Arial" panose="020B0604020202020204" pitchFamily="34" charset="0"/>
                  </a:defRPr>
                </a:pPr>
                <a:r>
                  <a:rPr lang="en-US" sz="1000" b="1">
                    <a:latin typeface="Arial" panose="020B0604020202020204" pitchFamily="34" charset="0"/>
                    <a:cs typeface="Arial" panose="020B0604020202020204" pitchFamily="34" charset="0"/>
                  </a:rPr>
                  <a:t>Biodiesel</a:t>
                </a:r>
                <a:r>
                  <a:rPr lang="en-US" sz="1000" b="1" baseline="0">
                    <a:latin typeface="Arial" panose="020B0604020202020204" pitchFamily="34" charset="0"/>
                    <a:cs typeface="Arial" panose="020B0604020202020204" pitchFamily="34" charset="0"/>
                  </a:rPr>
                  <a:t> </a:t>
                </a:r>
                <a:r>
                  <a:rPr lang="en-US" sz="1000" b="1">
                    <a:latin typeface="Arial" panose="020B0604020202020204" pitchFamily="34" charset="0"/>
                    <a:cs typeface="Arial" panose="020B0604020202020204" pitchFamily="34" charset="0"/>
                  </a:rPr>
                  <a:t> %</a:t>
                </a:r>
              </a:p>
            </c:rich>
          </c:tx>
          <c:overlay val="0"/>
        </c:title>
        <c:numFmt formatCode="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22238792"/>
        <c:crosses val="autoZero"/>
        <c:crossBetween val="between"/>
        <c:majorUnit val="0.05"/>
        <c:minorUnit val="2.0000000000000011E-2"/>
      </c:valAx>
      <c:valAx>
        <c:axId val="222239576"/>
        <c:scaling>
          <c:orientation val="minMax"/>
          <c:max val="0.25"/>
        </c:scaling>
        <c:delete val="1"/>
        <c:axPos val="r"/>
        <c:numFmt formatCode="0.0%" sourceLinked="1"/>
        <c:majorTickMark val="out"/>
        <c:minorTickMark val="none"/>
        <c:tickLblPos val="none"/>
        <c:crossAx val="222239968"/>
        <c:crosses val="max"/>
        <c:crossBetween val="between"/>
      </c:valAx>
      <c:catAx>
        <c:axId val="222239968"/>
        <c:scaling>
          <c:orientation val="minMax"/>
        </c:scaling>
        <c:delete val="1"/>
        <c:axPos val="b"/>
        <c:numFmt formatCode="General" sourceLinked="1"/>
        <c:majorTickMark val="out"/>
        <c:minorTickMark val="none"/>
        <c:tickLblPos val="none"/>
        <c:crossAx val="222239576"/>
        <c:crosses val="autoZero"/>
        <c:auto val="1"/>
        <c:lblAlgn val="ctr"/>
        <c:lblOffset val="100"/>
        <c:noMultiLvlLbl val="0"/>
      </c:catAx>
    </c:plotArea>
    <c:legend>
      <c:legendPos val="b"/>
      <c:layout>
        <c:manualLayout>
          <c:xMode val="edge"/>
          <c:yMode val="edge"/>
          <c:x val="0.12854954044450029"/>
          <c:y val="0.89501814505329658"/>
          <c:w val="0.84442357141905489"/>
          <c:h val="7.9471650865070437E-2"/>
        </c:manualLayout>
      </c:layout>
      <c:overlay val="0"/>
      <c:txPr>
        <a:bodyPr/>
        <a:lstStyle/>
        <a:p>
          <a:pPr>
            <a:defRPr sz="1050">
              <a:latin typeface="Arial" panose="020B0604020202020204" pitchFamily="34" charset="0"/>
              <a:cs typeface="Arial" panose="020B0604020202020204" pitchFamily="34" charset="0"/>
            </a:defRPr>
          </a:pPr>
          <a:endParaRPr lang="en-US"/>
        </a:p>
      </c:txPr>
    </c:legend>
    <c:plotVisOnly val="1"/>
    <c:dispBlanksAs val="gap"/>
    <c:showDLblsOverMax val="0"/>
  </c:chart>
  <c:spPr>
    <a:ln>
      <a:solidFill>
        <a:schemeClr val="tx1"/>
      </a:solid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0.82947</cdr:x>
      <cdr:y>0.17901</cdr:y>
    </cdr:from>
    <cdr:to>
      <cdr:x>0.87086</cdr:x>
      <cdr:y>0.24074</cdr:y>
    </cdr:to>
    <cdr:sp macro="" textlink="">
      <cdr:nvSpPr>
        <cdr:cNvPr id="2" name="TextBox 1"/>
        <cdr:cNvSpPr txBox="1"/>
      </cdr:nvSpPr>
      <cdr:spPr>
        <a:xfrm xmlns:a="http://schemas.openxmlformats.org/drawingml/2006/main">
          <a:off x="4772025" y="552450"/>
          <a:ext cx="2381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EDA4E-5EF8-4B74-878B-614D10FC5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3084</Words>
  <Characters>17584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Biodiesel Use by Washington State Agencies, Jul-Dec 2015</vt:lpstr>
    </vt:vector>
  </TitlesOfParts>
  <Company>State of Washington</Company>
  <LinksUpToDate>false</LinksUpToDate>
  <CharactersWithSpaces>20627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Biodiesel Use by Washington State Agencies, Jul-Dec 2015</dc:title>
  <dc:creator>Dept. of Enterprise Services</dc:creator>
  <cp:lastModifiedBy>Pretty, Jon (DES)</cp:lastModifiedBy>
  <cp:revision>3</cp:revision>
  <cp:lastPrinted>2019-01-25T18:02:00Z</cp:lastPrinted>
  <dcterms:created xsi:type="dcterms:W3CDTF">2021-10-05T22:50:00Z</dcterms:created>
  <dcterms:modified xsi:type="dcterms:W3CDTF">2021-10-05T22:52:00Z</dcterms:modified>
</cp:coreProperties>
</file>