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479" w:rsidRPr="00E54934" w:rsidRDefault="00CE6479" w:rsidP="00CE6479">
      <w:pPr>
        <w:pStyle w:val="Subtitle"/>
        <w:spacing w:after="0"/>
        <w:rPr>
          <w:rFonts w:asciiTheme="minorHAnsi" w:hAnsiTheme="minorHAnsi" w:cstheme="minorHAnsi"/>
          <w:b w:val="0"/>
        </w:rPr>
      </w:pPr>
      <w:r w:rsidRPr="00D0246A">
        <w:rPr>
          <w:rFonts w:asciiTheme="minorHAnsi" w:hAnsiTheme="minorHAnsi" w:cstheme="minorHAnsi"/>
        </w:rPr>
        <w:t xml:space="preserve">Enterprise Services Policy No. </w:t>
      </w:r>
      <w:r w:rsidR="00B75D30">
        <w:rPr>
          <w:rFonts w:asciiTheme="minorHAnsi" w:hAnsiTheme="minorHAnsi" w:cstheme="minorHAnsi"/>
        </w:rPr>
        <w:t xml:space="preserve"> </w:t>
      </w:r>
      <w:r w:rsidR="00B40954">
        <w:rPr>
          <w:rFonts w:asciiTheme="minorHAnsi" w:hAnsiTheme="minorHAnsi" w:cstheme="minorHAnsi"/>
        </w:rPr>
        <w:t>POL-DES-310</w:t>
      </w:r>
      <w:r w:rsidR="001562B7">
        <w:rPr>
          <w:rFonts w:asciiTheme="minorHAnsi" w:hAnsiTheme="minorHAnsi" w:cstheme="minorHAnsi"/>
        </w:rPr>
        <w:t>-00</w:t>
      </w:r>
    </w:p>
    <w:p w:rsidR="00CE6479" w:rsidRPr="00295C76" w:rsidRDefault="001562B7" w:rsidP="00295C76">
      <w:pPr>
        <w:pStyle w:val="Title"/>
        <w:rPr>
          <w:color w:val="1F3864" w:themeColor="accent5" w:themeShade="80"/>
        </w:rPr>
      </w:pPr>
      <w:r w:rsidRPr="00295C76">
        <w:rPr>
          <w:color w:val="1F3864" w:themeColor="accent5" w:themeShade="80"/>
        </w:rPr>
        <w:t xml:space="preserve">Purchasing Preference for Products </w:t>
      </w:r>
      <w:r w:rsidR="00024155">
        <w:rPr>
          <w:color w:val="1F3864" w:themeColor="accent5" w:themeShade="80"/>
        </w:rPr>
        <w:t>T</w:t>
      </w:r>
      <w:r w:rsidRPr="00295C76">
        <w:rPr>
          <w:color w:val="1F3864" w:themeColor="accent5" w:themeShade="80"/>
        </w:rPr>
        <w:t xml:space="preserve">hat Do Not Contain </w:t>
      </w:r>
      <w:r w:rsidR="00DE3D1D">
        <w:rPr>
          <w:color w:val="1F3864" w:themeColor="accent5" w:themeShade="80"/>
        </w:rPr>
        <w:t>Hydrofluorocarbons</w:t>
      </w:r>
      <w:r w:rsidR="00295C76" w:rsidRPr="00295C76">
        <w:rPr>
          <w:color w:val="1F3864" w:themeColor="accent5" w:themeShade="80"/>
        </w:rPr>
        <w:t xml:space="preserve"> (</w:t>
      </w:r>
      <w:r w:rsidR="00DE3D1D">
        <w:rPr>
          <w:color w:val="1F3864" w:themeColor="accent5" w:themeShade="80"/>
        </w:rPr>
        <w:t>HFC</w:t>
      </w:r>
      <w:r w:rsidR="00295C76" w:rsidRPr="00295C76">
        <w:rPr>
          <w:color w:val="1F3864" w:themeColor="accent5" w:themeShade="80"/>
        </w:rPr>
        <w:t>s)</w:t>
      </w:r>
    </w:p>
    <w:p w:rsidR="002B0F44" w:rsidRPr="00625432" w:rsidRDefault="00CE6479" w:rsidP="002B0F44">
      <w:pPr>
        <w:pStyle w:val="InfoBlock"/>
        <w:pBdr>
          <w:top w:val="single" w:sz="4" w:space="1" w:color="auto"/>
        </w:pBdr>
        <w:rPr>
          <w:rFonts w:asciiTheme="minorHAnsi" w:hAnsiTheme="minorHAnsi" w:cstheme="minorHAnsi"/>
          <w:sz w:val="22"/>
          <w:szCs w:val="22"/>
        </w:rPr>
      </w:pPr>
      <w:r w:rsidRPr="00157A23">
        <w:rPr>
          <w:rFonts w:asciiTheme="minorHAnsi" w:hAnsiTheme="minorHAnsi" w:cstheme="minorHAnsi"/>
          <w:b/>
          <w:color w:val="000000" w:themeColor="text1"/>
          <w:sz w:val="22"/>
          <w:szCs w:val="22"/>
          <w:lang w:eastAsia="zh-TW"/>
        </w:rPr>
        <w:t>Applies to</w:t>
      </w:r>
      <w:r w:rsidRPr="00625432">
        <w:rPr>
          <w:rFonts w:asciiTheme="minorHAnsi" w:hAnsiTheme="minorHAnsi" w:cstheme="minorHAnsi"/>
          <w:sz w:val="22"/>
          <w:szCs w:val="22"/>
          <w:lang w:eastAsia="zh-TW"/>
        </w:rPr>
        <w:t>:</w:t>
      </w:r>
      <w:r w:rsidR="00BB7877">
        <w:rPr>
          <w:rFonts w:asciiTheme="minorHAnsi" w:hAnsiTheme="minorHAnsi" w:cstheme="minorHAnsi"/>
          <w:sz w:val="22"/>
          <w:szCs w:val="22"/>
          <w:lang w:eastAsia="zh-TW"/>
        </w:rPr>
        <w:t xml:space="preserve"> </w:t>
      </w:r>
      <w:r w:rsidR="001562B7">
        <w:rPr>
          <w:rFonts w:asciiTheme="minorHAnsi" w:hAnsiTheme="minorHAnsi" w:cstheme="minorHAnsi"/>
          <w:sz w:val="22"/>
          <w:szCs w:val="22"/>
          <w:lang w:eastAsia="zh-TW"/>
        </w:rPr>
        <w:t>Any state office or activit</w:t>
      </w:r>
      <w:r w:rsidR="001529CD">
        <w:rPr>
          <w:rFonts w:asciiTheme="minorHAnsi" w:hAnsiTheme="minorHAnsi" w:cstheme="minorHAnsi"/>
          <w:sz w:val="22"/>
          <w:szCs w:val="22"/>
          <w:lang w:eastAsia="zh-TW"/>
        </w:rPr>
        <w:t>y of the executive branch</w:t>
      </w:r>
      <w:r w:rsidR="001562B7">
        <w:rPr>
          <w:rFonts w:asciiTheme="minorHAnsi" w:hAnsiTheme="minorHAnsi" w:cstheme="minorHAnsi"/>
          <w:sz w:val="22"/>
          <w:szCs w:val="22"/>
          <w:lang w:eastAsia="zh-TW"/>
        </w:rPr>
        <w:t xml:space="preserve"> of state government, including state agencies, departments, offices, divisions, boards, commissions, institutions of higher education as defined in RCW 28B.10.016</w:t>
      </w:r>
      <w:r w:rsidR="00D7056D">
        <w:rPr>
          <w:rFonts w:asciiTheme="minorHAnsi" w:hAnsiTheme="minorHAnsi" w:cstheme="minorHAnsi"/>
          <w:color w:val="FF0000"/>
          <w:sz w:val="22"/>
          <w:szCs w:val="22"/>
          <w:lang w:eastAsia="zh-TW"/>
        </w:rPr>
        <w:t xml:space="preserve">, </w:t>
      </w:r>
      <w:hyperlink r:id="rId11" w:history="1">
        <w:r w:rsidR="00D7056D" w:rsidRPr="00D7056D">
          <w:rPr>
            <w:rStyle w:val="Hyperlink"/>
            <w:rFonts w:asciiTheme="minorHAnsi" w:hAnsiTheme="minorHAnsi" w:cstheme="minorHAnsi"/>
            <w:sz w:val="22"/>
            <w:szCs w:val="22"/>
            <w:lang w:eastAsia="zh-TW"/>
          </w:rPr>
          <w:t>RCW 28B.10.016</w:t>
        </w:r>
      </w:hyperlink>
      <w:r w:rsidR="001562B7" w:rsidRPr="002D4956">
        <w:rPr>
          <w:rFonts w:asciiTheme="minorHAnsi" w:hAnsiTheme="minorHAnsi" w:cstheme="minorHAnsi"/>
          <w:color w:val="FF0000"/>
          <w:sz w:val="22"/>
          <w:szCs w:val="22"/>
          <w:lang w:eastAsia="zh-TW"/>
        </w:rPr>
        <w:t xml:space="preserve"> </w:t>
      </w:r>
      <w:r w:rsidR="001562B7">
        <w:rPr>
          <w:rFonts w:asciiTheme="minorHAnsi" w:hAnsiTheme="minorHAnsi" w:cstheme="minorHAnsi"/>
          <w:sz w:val="22"/>
          <w:szCs w:val="22"/>
          <w:lang w:eastAsia="zh-TW"/>
        </w:rPr>
        <w:t>and correctional and other types of institutions</w:t>
      </w:r>
      <w:r w:rsidR="008B6940">
        <w:rPr>
          <w:rFonts w:asciiTheme="minorHAnsi" w:hAnsiTheme="minorHAnsi" w:cstheme="minorHAnsi"/>
          <w:sz w:val="22"/>
          <w:szCs w:val="22"/>
          <w:lang w:eastAsia="zh-TW"/>
        </w:rPr>
        <w:t xml:space="preserve"> (</w:t>
      </w:r>
      <w:hyperlink r:id="rId12" w:history="1">
        <w:r w:rsidR="008B6940" w:rsidRPr="00F3227E">
          <w:rPr>
            <w:rStyle w:val="Hyperlink"/>
            <w:rFonts w:asciiTheme="minorHAnsi" w:hAnsiTheme="minorHAnsi" w:cstheme="minorHAnsi"/>
            <w:sz w:val="22"/>
            <w:szCs w:val="22"/>
            <w:lang w:eastAsia="zh-TW"/>
          </w:rPr>
          <w:t>RCW 39.26.010(1)</w:t>
        </w:r>
      </w:hyperlink>
      <w:r w:rsidR="008B6940">
        <w:rPr>
          <w:rFonts w:asciiTheme="minorHAnsi" w:hAnsiTheme="minorHAnsi" w:cstheme="minorHAnsi"/>
          <w:sz w:val="22"/>
          <w:szCs w:val="22"/>
          <w:lang w:eastAsia="zh-TW"/>
        </w:rPr>
        <w:t>) (</w:t>
      </w:r>
      <w:hyperlink r:id="rId13" w:history="1">
        <w:r w:rsidR="008B6940" w:rsidRPr="00F3227E">
          <w:rPr>
            <w:rStyle w:val="Hyperlink"/>
            <w:rFonts w:asciiTheme="minorHAnsi" w:hAnsiTheme="minorHAnsi" w:cstheme="minorHAnsi"/>
            <w:sz w:val="22"/>
            <w:szCs w:val="22"/>
            <w:lang w:eastAsia="zh-TW"/>
          </w:rPr>
          <w:t>RCW 39.26.100</w:t>
        </w:r>
      </w:hyperlink>
      <w:r w:rsidR="008B6940">
        <w:rPr>
          <w:rFonts w:asciiTheme="minorHAnsi" w:hAnsiTheme="minorHAnsi" w:cstheme="minorHAnsi"/>
          <w:sz w:val="22"/>
          <w:szCs w:val="22"/>
          <w:lang w:eastAsia="zh-TW"/>
        </w:rPr>
        <w:t>) (</w:t>
      </w:r>
      <w:hyperlink r:id="rId14" w:history="1">
        <w:r w:rsidR="008B6940" w:rsidRPr="00F3227E">
          <w:rPr>
            <w:rStyle w:val="Hyperlink"/>
            <w:rFonts w:asciiTheme="minorHAnsi" w:hAnsiTheme="minorHAnsi" w:cstheme="minorHAnsi"/>
            <w:sz w:val="22"/>
            <w:szCs w:val="22"/>
            <w:lang w:eastAsia="zh-TW"/>
          </w:rPr>
          <w:t>RCW 39.26.102</w:t>
        </w:r>
      </w:hyperlink>
      <w:r w:rsidR="008B6940">
        <w:rPr>
          <w:rFonts w:asciiTheme="minorHAnsi" w:hAnsiTheme="minorHAnsi" w:cstheme="minorHAnsi"/>
          <w:sz w:val="22"/>
          <w:szCs w:val="22"/>
          <w:lang w:eastAsia="zh-TW"/>
        </w:rPr>
        <w:t>).</w:t>
      </w:r>
    </w:p>
    <w:p w:rsidR="00CE6479" w:rsidRPr="00625432" w:rsidRDefault="00CE6479" w:rsidP="00CE6479">
      <w:pPr>
        <w:spacing w:after="0"/>
        <w:rPr>
          <w:rFonts w:cstheme="minorHAnsi"/>
          <w:lang w:eastAsia="zh-TW" w:bidi="en-US"/>
        </w:rPr>
      </w:pPr>
      <w:r w:rsidRPr="00157A23">
        <w:rPr>
          <w:rFonts w:cstheme="minorHAnsi"/>
          <w:b/>
          <w:lang w:eastAsia="zh-TW" w:bidi="en-US"/>
        </w:rPr>
        <w:t>Authorizing sources</w:t>
      </w:r>
      <w:r w:rsidRPr="00625432">
        <w:rPr>
          <w:rFonts w:cstheme="minorHAnsi"/>
          <w:lang w:eastAsia="zh-TW" w:bidi="en-US"/>
        </w:rPr>
        <w:t>:</w:t>
      </w:r>
    </w:p>
    <w:p w:rsidR="001529CD" w:rsidRDefault="00732248" w:rsidP="00295C76">
      <w:pPr>
        <w:pStyle w:val="InfoBlock"/>
        <w:numPr>
          <w:ilvl w:val="0"/>
          <w:numId w:val="6"/>
        </w:numPr>
        <w:spacing w:before="0" w:after="0"/>
        <w:rPr>
          <w:rFonts w:asciiTheme="minorHAnsi" w:hAnsiTheme="minorHAnsi" w:cstheme="minorHAnsi"/>
          <w:sz w:val="22"/>
          <w:szCs w:val="22"/>
        </w:rPr>
      </w:pPr>
      <w:hyperlink r:id="rId15" w:anchor="page=1" w:history="1">
        <w:r w:rsidR="001529CD" w:rsidRPr="001529CD">
          <w:rPr>
            <w:rStyle w:val="Hyperlink"/>
            <w:rFonts w:asciiTheme="minorHAnsi" w:hAnsiTheme="minorHAnsi" w:cstheme="minorHAnsi"/>
            <w:sz w:val="22"/>
            <w:szCs w:val="22"/>
          </w:rPr>
          <w:t>Engrossed Second Substitute House Bill 1112</w:t>
        </w:r>
      </w:hyperlink>
      <w:r w:rsidR="001529CD">
        <w:rPr>
          <w:rFonts w:asciiTheme="minorHAnsi" w:hAnsiTheme="minorHAnsi" w:cstheme="minorHAnsi"/>
          <w:sz w:val="22"/>
          <w:szCs w:val="22"/>
        </w:rPr>
        <w:t xml:space="preserve"> (2019 Legislative Session)</w:t>
      </w:r>
    </w:p>
    <w:p w:rsidR="00CE6479" w:rsidRPr="001529CD" w:rsidRDefault="004472B0" w:rsidP="001529CD">
      <w:pPr>
        <w:pStyle w:val="InfoBlock"/>
        <w:numPr>
          <w:ilvl w:val="0"/>
          <w:numId w:val="6"/>
        </w:numPr>
        <w:spacing w:before="0" w:after="0"/>
        <w:rPr>
          <w:rStyle w:val="Hyperlink"/>
          <w:rFonts w:asciiTheme="minorHAnsi" w:hAnsiTheme="minorHAnsi" w:cstheme="minorHAnsi"/>
          <w:color w:val="auto"/>
          <w:sz w:val="22"/>
          <w:szCs w:val="22"/>
          <w:u w:val="none"/>
        </w:rPr>
      </w:pPr>
      <w:r w:rsidRPr="005368B1">
        <w:rPr>
          <w:rFonts w:asciiTheme="minorHAnsi" w:hAnsiTheme="minorHAnsi" w:cstheme="minorHAnsi"/>
          <w:sz w:val="22"/>
          <w:szCs w:val="22"/>
        </w:rPr>
        <w:t>State Law</w:t>
      </w:r>
      <w:r w:rsidR="0075761B" w:rsidRPr="005368B1">
        <w:rPr>
          <w:rFonts w:asciiTheme="minorHAnsi" w:hAnsiTheme="minorHAnsi" w:cstheme="minorHAnsi"/>
          <w:sz w:val="22"/>
          <w:szCs w:val="22"/>
        </w:rPr>
        <w:t xml:space="preserve"> </w:t>
      </w:r>
      <w:hyperlink r:id="rId16" w:anchor="39.26.310" w:history="1">
        <w:r w:rsidR="001529CD" w:rsidRPr="00B40954">
          <w:rPr>
            <w:rStyle w:val="Hyperlink"/>
            <w:rFonts w:asciiTheme="minorHAnsi" w:hAnsiTheme="minorHAnsi" w:cstheme="minorHAnsi"/>
            <w:sz w:val="22"/>
            <w:szCs w:val="22"/>
          </w:rPr>
          <w:t>RCW 39.26.</w:t>
        </w:r>
        <w:r w:rsidR="00B40954" w:rsidRPr="00B40954">
          <w:rPr>
            <w:rStyle w:val="Hyperlink"/>
            <w:rFonts w:asciiTheme="minorHAnsi" w:hAnsiTheme="minorHAnsi" w:cstheme="minorHAnsi"/>
            <w:sz w:val="22"/>
            <w:szCs w:val="22"/>
          </w:rPr>
          <w:t>310</w:t>
        </w:r>
      </w:hyperlink>
    </w:p>
    <w:p w:rsidR="004472B0" w:rsidRPr="001529CD" w:rsidRDefault="0063347B" w:rsidP="001529CD">
      <w:pPr>
        <w:pStyle w:val="InfoBlock"/>
        <w:numPr>
          <w:ilvl w:val="0"/>
          <w:numId w:val="6"/>
        </w:numPr>
        <w:spacing w:before="0" w:after="0"/>
        <w:rPr>
          <w:rFonts w:asciiTheme="minorHAnsi" w:hAnsiTheme="minorHAnsi" w:cstheme="minorHAnsi"/>
          <w:sz w:val="22"/>
          <w:szCs w:val="22"/>
        </w:rPr>
      </w:pPr>
      <w:r w:rsidRPr="0063347B">
        <w:rPr>
          <w:rFonts w:asciiTheme="minorHAnsi" w:hAnsiTheme="minorHAnsi" w:cstheme="minorHAnsi"/>
          <w:sz w:val="22"/>
          <w:szCs w:val="22"/>
        </w:rPr>
        <w:t xml:space="preserve">State Law </w:t>
      </w:r>
      <w:hyperlink r:id="rId17" w:history="1">
        <w:r w:rsidRPr="0063347B">
          <w:rPr>
            <w:rStyle w:val="Hyperlink"/>
            <w:rFonts w:asciiTheme="minorHAnsi" w:hAnsiTheme="minorHAnsi" w:cstheme="minorHAnsi"/>
            <w:sz w:val="22"/>
            <w:szCs w:val="22"/>
          </w:rPr>
          <w:t>RCW 39.26.160(3)(d)</w:t>
        </w:r>
      </w:hyperlink>
      <w:r w:rsidR="00826E56" w:rsidRPr="0063347B">
        <w:rPr>
          <w:rStyle w:val="Hyperlink"/>
          <w:rFonts w:asciiTheme="minorHAnsi" w:hAnsiTheme="minorHAnsi" w:cstheme="minorHAnsi"/>
          <w:sz w:val="22"/>
          <w:szCs w:val="22"/>
        </w:rPr>
        <w:t xml:space="preserve"> </w:t>
      </w:r>
    </w:p>
    <w:p w:rsidR="00CE6479" w:rsidRPr="0063347B" w:rsidRDefault="004472B0" w:rsidP="00295C76">
      <w:pPr>
        <w:pStyle w:val="InfoBlock"/>
        <w:numPr>
          <w:ilvl w:val="0"/>
          <w:numId w:val="6"/>
        </w:numPr>
        <w:spacing w:before="0" w:after="0"/>
        <w:rPr>
          <w:rStyle w:val="Hyperlink"/>
          <w:rFonts w:asciiTheme="minorHAnsi" w:hAnsiTheme="minorHAnsi" w:cstheme="minorHAnsi"/>
          <w:color w:val="auto"/>
          <w:sz w:val="22"/>
          <w:szCs w:val="22"/>
          <w:u w:val="none"/>
        </w:rPr>
      </w:pPr>
      <w:r w:rsidRPr="005368B1">
        <w:rPr>
          <w:rFonts w:asciiTheme="minorHAnsi" w:hAnsiTheme="minorHAnsi" w:cstheme="minorHAnsi"/>
          <w:sz w:val="22"/>
          <w:szCs w:val="22"/>
        </w:rPr>
        <w:t xml:space="preserve">Executive Order </w:t>
      </w:r>
      <w:hyperlink r:id="rId18" w:history="1">
        <w:r w:rsidR="00964413" w:rsidRPr="005368B1">
          <w:rPr>
            <w:rStyle w:val="Hyperlink"/>
            <w:rFonts w:asciiTheme="minorHAnsi" w:hAnsiTheme="minorHAnsi" w:cstheme="minorHAnsi"/>
            <w:sz w:val="22"/>
            <w:szCs w:val="22"/>
          </w:rPr>
          <w:t>Executive Order 04-01</w:t>
        </w:r>
      </w:hyperlink>
    </w:p>
    <w:p w:rsidR="0063347B" w:rsidRPr="00A44C37" w:rsidRDefault="0063347B" w:rsidP="00295C76">
      <w:pPr>
        <w:pStyle w:val="InfoBlock"/>
        <w:numPr>
          <w:ilvl w:val="0"/>
          <w:numId w:val="6"/>
        </w:numPr>
        <w:spacing w:before="0" w:after="0"/>
        <w:rPr>
          <w:rFonts w:asciiTheme="minorHAnsi" w:hAnsiTheme="minorHAnsi" w:cstheme="minorHAnsi"/>
          <w:sz w:val="22"/>
          <w:szCs w:val="22"/>
        </w:rPr>
      </w:pPr>
      <w:r w:rsidRPr="0063347B">
        <w:rPr>
          <w:rStyle w:val="Hyperlink"/>
          <w:rFonts w:asciiTheme="minorHAnsi" w:hAnsiTheme="minorHAnsi" w:cstheme="minorHAnsi"/>
          <w:color w:val="auto"/>
          <w:sz w:val="22"/>
          <w:szCs w:val="22"/>
          <w:u w:val="none"/>
        </w:rPr>
        <w:t>Executive Order</w:t>
      </w:r>
      <w:r w:rsidR="004D0CFF">
        <w:rPr>
          <w:rStyle w:val="Hyperlink"/>
          <w:rFonts w:asciiTheme="minorHAnsi" w:hAnsiTheme="minorHAnsi" w:cstheme="minorHAnsi"/>
          <w:color w:val="auto"/>
          <w:sz w:val="22"/>
          <w:szCs w:val="22"/>
          <w:u w:val="none"/>
        </w:rPr>
        <w:t xml:space="preserve"> </w:t>
      </w:r>
      <w:hyperlink r:id="rId19" w:history="1">
        <w:r w:rsidRPr="0063347B">
          <w:rPr>
            <w:rStyle w:val="Hyperlink"/>
            <w:rFonts w:asciiTheme="minorHAnsi" w:hAnsiTheme="minorHAnsi" w:cstheme="minorHAnsi"/>
            <w:sz w:val="22"/>
            <w:szCs w:val="22"/>
          </w:rPr>
          <w:t>Executive Order 18-01</w:t>
        </w:r>
      </w:hyperlink>
    </w:p>
    <w:p w:rsidR="00CE6479" w:rsidRPr="00625432" w:rsidRDefault="00CE6479" w:rsidP="000E1F27">
      <w:pPr>
        <w:spacing w:after="60"/>
        <w:rPr>
          <w:rFonts w:cstheme="minorHAnsi"/>
          <w:lang w:eastAsia="zh-TW" w:bidi="en-US"/>
        </w:rPr>
      </w:pPr>
      <w:r w:rsidRPr="001529CD">
        <w:rPr>
          <w:rFonts w:cstheme="minorHAnsi"/>
          <w:b/>
          <w:highlight w:val="yellow"/>
          <w:lang w:eastAsia="zh-TW" w:bidi="en-US"/>
        </w:rPr>
        <w:t>Effective date</w:t>
      </w:r>
      <w:r w:rsidRPr="001529CD">
        <w:rPr>
          <w:rFonts w:cstheme="minorHAnsi"/>
          <w:highlight w:val="yellow"/>
          <w:lang w:eastAsia="zh-TW" w:bidi="en-US"/>
        </w:rPr>
        <w:t>:</w:t>
      </w:r>
      <w:r w:rsidRPr="00625432">
        <w:rPr>
          <w:rFonts w:cstheme="minorHAnsi"/>
          <w:lang w:eastAsia="zh-TW" w:bidi="en-US"/>
        </w:rPr>
        <w:t xml:space="preserve"> </w:t>
      </w:r>
      <w:r w:rsidR="00BB7877">
        <w:rPr>
          <w:rFonts w:cstheme="minorHAnsi"/>
        </w:rPr>
        <w:t xml:space="preserve"> </w:t>
      </w:r>
    </w:p>
    <w:p w:rsidR="00CE6479" w:rsidRPr="00625432" w:rsidRDefault="00CE6479" w:rsidP="000E1F27">
      <w:pPr>
        <w:spacing w:after="60"/>
        <w:rPr>
          <w:rFonts w:cstheme="minorHAnsi"/>
          <w:lang w:eastAsia="zh-TW" w:bidi="en-US"/>
        </w:rPr>
      </w:pPr>
      <w:r w:rsidRPr="00157A23">
        <w:rPr>
          <w:rFonts w:cstheme="minorHAnsi"/>
          <w:b/>
          <w:lang w:eastAsia="zh-TW" w:bidi="en-US"/>
        </w:rPr>
        <w:t>Last update</w:t>
      </w:r>
      <w:r w:rsidRPr="00625432">
        <w:rPr>
          <w:rFonts w:cstheme="minorHAnsi"/>
          <w:lang w:eastAsia="zh-TW" w:bidi="en-US"/>
        </w:rPr>
        <w:t xml:space="preserve">: </w:t>
      </w:r>
      <w:r w:rsidR="00C666A6">
        <w:rPr>
          <w:rFonts w:cstheme="minorHAnsi"/>
        </w:rPr>
        <w:t xml:space="preserve"> </w:t>
      </w:r>
      <w:r w:rsidR="00964413">
        <w:rPr>
          <w:rFonts w:cstheme="minorHAnsi"/>
        </w:rPr>
        <w:t>N/A</w:t>
      </w:r>
    </w:p>
    <w:p w:rsidR="00CE6479" w:rsidRPr="00625432" w:rsidRDefault="00CE6479" w:rsidP="000E1F27">
      <w:pPr>
        <w:spacing w:after="60"/>
        <w:rPr>
          <w:rFonts w:cstheme="minorHAnsi"/>
          <w:lang w:eastAsia="zh-TW" w:bidi="en-US"/>
        </w:rPr>
      </w:pPr>
      <w:r w:rsidRPr="00157A23">
        <w:rPr>
          <w:rFonts w:cstheme="minorHAnsi"/>
          <w:b/>
          <w:lang w:eastAsia="zh-TW" w:bidi="en-US"/>
        </w:rPr>
        <w:t xml:space="preserve">Sunset review </w:t>
      </w:r>
      <w:r w:rsidRPr="001529CD">
        <w:rPr>
          <w:rFonts w:cstheme="minorHAnsi"/>
          <w:b/>
          <w:lang w:eastAsia="zh-TW" w:bidi="en-US"/>
        </w:rPr>
        <w:t>date</w:t>
      </w:r>
      <w:r w:rsidR="004A6AE7">
        <w:rPr>
          <w:rFonts w:ascii="Arial" w:hAnsi="Arial" w:cs="Arial"/>
          <w:sz w:val="20"/>
          <w:szCs w:val="24"/>
          <w:lang w:bidi="en-US"/>
        </w:rPr>
        <w:t xml:space="preserve">:  </w:t>
      </w:r>
      <w:r w:rsidR="001529CD" w:rsidRPr="004A6AE7">
        <w:rPr>
          <w:rFonts w:ascii="Arial" w:hAnsi="Arial" w:cs="Arial"/>
          <w:i/>
          <w:sz w:val="20"/>
          <w:szCs w:val="24"/>
          <w:lang w:bidi="en-US"/>
        </w:rPr>
        <w:t>5 years from effective date</w:t>
      </w:r>
    </w:p>
    <w:p w:rsidR="00F935E8" w:rsidRPr="00F935E8" w:rsidRDefault="00CE6479" w:rsidP="000E1F27">
      <w:pPr>
        <w:pStyle w:val="InfoBlock"/>
      </w:pPr>
      <w:r w:rsidRPr="00157A23">
        <w:rPr>
          <w:rFonts w:asciiTheme="minorHAnsi" w:hAnsiTheme="minorHAnsi" w:cstheme="minorHAnsi"/>
          <w:b/>
          <w:sz w:val="22"/>
          <w:szCs w:val="22"/>
          <w:lang w:eastAsia="zh-TW"/>
        </w:rPr>
        <w:t>Approved by</w:t>
      </w:r>
      <w:r w:rsidRPr="00625432">
        <w:rPr>
          <w:rFonts w:asciiTheme="minorHAnsi" w:hAnsiTheme="minorHAnsi" w:cstheme="minorHAnsi"/>
          <w:sz w:val="22"/>
          <w:szCs w:val="22"/>
          <w:lang w:eastAsia="zh-TW"/>
        </w:rPr>
        <w:t xml:space="preserve">: </w:t>
      </w:r>
      <w:r w:rsidR="00F35E2E">
        <w:rPr>
          <w:rFonts w:asciiTheme="minorHAnsi" w:hAnsiTheme="minorHAnsi" w:cstheme="minorHAnsi"/>
          <w:sz w:val="22"/>
          <w:szCs w:val="22"/>
          <w:lang w:eastAsia="zh-TW"/>
        </w:rPr>
        <w:t>_______________________________________</w:t>
      </w:r>
      <w:r w:rsidR="00964413">
        <w:rPr>
          <w:rFonts w:asciiTheme="minorHAnsi" w:hAnsiTheme="minorHAnsi" w:cstheme="minorHAnsi"/>
          <w:sz w:val="22"/>
          <w:szCs w:val="22"/>
          <w:lang w:eastAsia="zh-TW"/>
        </w:rPr>
        <w:t>Chris Liu</w:t>
      </w:r>
      <w:r w:rsidR="00F01EB6">
        <w:rPr>
          <w:rFonts w:asciiTheme="minorHAnsi" w:hAnsiTheme="minorHAnsi" w:cstheme="minorHAnsi"/>
          <w:sz w:val="22"/>
          <w:szCs w:val="22"/>
        </w:rPr>
        <w:t>, Director</w:t>
      </w:r>
    </w:p>
    <w:p w:rsidR="00CE6479" w:rsidRDefault="00B17253" w:rsidP="00295C76">
      <w:pPr>
        <w:pStyle w:val="Heading1"/>
      </w:pPr>
      <w:r>
        <w:t>Reason for Policy</w:t>
      </w:r>
    </w:p>
    <w:p w:rsidR="005E616F" w:rsidRDefault="00964413" w:rsidP="005368B1">
      <w:pPr>
        <w:pStyle w:val="NoSpacing"/>
        <w:spacing w:before="120"/>
        <w:jc w:val="both"/>
        <w:rPr>
          <w:rFonts w:asciiTheme="minorHAnsi" w:hAnsiTheme="minorHAnsi"/>
          <w:sz w:val="22"/>
          <w:szCs w:val="22"/>
        </w:rPr>
      </w:pPr>
      <w:r w:rsidRPr="00BD5FB3">
        <w:rPr>
          <w:rFonts w:asciiTheme="minorHAnsi" w:hAnsiTheme="minorHAnsi"/>
          <w:sz w:val="22"/>
          <w:szCs w:val="22"/>
        </w:rPr>
        <w:t xml:space="preserve">This policy establishes the purchasing preference </w:t>
      </w:r>
      <w:r w:rsidR="00B40954" w:rsidRPr="00BD5FB3">
        <w:rPr>
          <w:rFonts w:asciiTheme="minorHAnsi" w:hAnsiTheme="minorHAnsi"/>
          <w:sz w:val="22"/>
          <w:szCs w:val="22"/>
        </w:rPr>
        <w:t>authorized in RCW 39.26.310</w:t>
      </w:r>
      <w:r w:rsidRPr="00BD5FB3">
        <w:rPr>
          <w:rFonts w:asciiTheme="minorHAnsi" w:hAnsiTheme="minorHAnsi"/>
          <w:sz w:val="22"/>
          <w:szCs w:val="22"/>
        </w:rPr>
        <w:t xml:space="preserve"> for </w:t>
      </w:r>
      <w:r w:rsidR="00242D37">
        <w:rPr>
          <w:rFonts w:asciiTheme="minorHAnsi" w:hAnsiTheme="minorHAnsi"/>
          <w:sz w:val="22"/>
          <w:szCs w:val="22"/>
        </w:rPr>
        <w:t>competitive purchases of</w:t>
      </w:r>
      <w:r w:rsidRPr="00BD5FB3">
        <w:rPr>
          <w:rFonts w:asciiTheme="minorHAnsi" w:hAnsiTheme="minorHAnsi"/>
          <w:sz w:val="22"/>
          <w:szCs w:val="22"/>
        </w:rPr>
        <w:t xml:space="preserve"> products that do not contain </w:t>
      </w:r>
      <w:r w:rsidR="001529CD" w:rsidRPr="00BD5FB3">
        <w:rPr>
          <w:rFonts w:asciiTheme="minorHAnsi" w:hAnsiTheme="minorHAnsi"/>
          <w:sz w:val="22"/>
          <w:szCs w:val="22"/>
        </w:rPr>
        <w:t xml:space="preserve">hydrofluorocarbons (HFCs) or contain </w:t>
      </w:r>
      <w:r w:rsidR="00DB3AEC">
        <w:rPr>
          <w:rFonts w:asciiTheme="minorHAnsi" w:hAnsiTheme="minorHAnsi"/>
          <w:sz w:val="22"/>
          <w:szCs w:val="22"/>
        </w:rPr>
        <w:t>HFCs</w:t>
      </w:r>
      <w:r w:rsidR="001529CD" w:rsidRPr="00BD5FB3">
        <w:rPr>
          <w:rFonts w:asciiTheme="minorHAnsi" w:hAnsiTheme="minorHAnsi"/>
          <w:sz w:val="22"/>
          <w:szCs w:val="22"/>
        </w:rPr>
        <w:t xml:space="preserve"> with a comparatively low global warming </w:t>
      </w:r>
      <w:r w:rsidR="002D6B65" w:rsidRPr="00BD5FB3">
        <w:rPr>
          <w:rFonts w:asciiTheme="minorHAnsi" w:hAnsiTheme="minorHAnsi"/>
          <w:sz w:val="22"/>
          <w:szCs w:val="22"/>
        </w:rPr>
        <w:t>potential</w:t>
      </w:r>
      <w:r w:rsidRPr="00BD5FB3">
        <w:rPr>
          <w:rFonts w:asciiTheme="minorHAnsi" w:hAnsiTheme="minorHAnsi"/>
          <w:sz w:val="22"/>
          <w:szCs w:val="22"/>
        </w:rPr>
        <w:t xml:space="preserve">. The intent is to </w:t>
      </w:r>
      <w:r w:rsidR="002D6B65" w:rsidRPr="00BD5FB3">
        <w:rPr>
          <w:rFonts w:asciiTheme="minorHAnsi" w:hAnsiTheme="minorHAnsi"/>
          <w:sz w:val="22"/>
          <w:szCs w:val="22"/>
        </w:rPr>
        <w:t>reduce greenhouse gas emissions by incentivizing</w:t>
      </w:r>
      <w:r w:rsidRPr="00BD5FB3">
        <w:rPr>
          <w:rFonts w:asciiTheme="minorHAnsi" w:hAnsiTheme="minorHAnsi"/>
          <w:sz w:val="22"/>
          <w:szCs w:val="22"/>
        </w:rPr>
        <w:t xml:space="preserve"> the State’s contract suppliers to provide products </w:t>
      </w:r>
      <w:r w:rsidR="001529CD" w:rsidRPr="00BD5FB3">
        <w:rPr>
          <w:rFonts w:asciiTheme="minorHAnsi" w:hAnsiTheme="minorHAnsi"/>
          <w:sz w:val="22"/>
          <w:szCs w:val="22"/>
        </w:rPr>
        <w:t>that do not contain HFC</w:t>
      </w:r>
      <w:r w:rsidRPr="00BD5FB3">
        <w:rPr>
          <w:rFonts w:asciiTheme="minorHAnsi" w:hAnsiTheme="minorHAnsi"/>
          <w:sz w:val="22"/>
          <w:szCs w:val="22"/>
        </w:rPr>
        <w:t>s.</w:t>
      </w:r>
    </w:p>
    <w:p w:rsidR="00454845" w:rsidRDefault="00454845" w:rsidP="00454845">
      <w:pPr>
        <w:pStyle w:val="Heading1"/>
      </w:pPr>
      <w:r>
        <w:t>Scope of Policy</w:t>
      </w:r>
    </w:p>
    <w:p w:rsidR="00454845" w:rsidRPr="00516FD5" w:rsidRDefault="00454845" w:rsidP="00454845">
      <w:pPr>
        <w:spacing w:before="120" w:line="240" w:lineRule="auto"/>
        <w:jc w:val="both"/>
        <w:rPr>
          <w:rFonts w:cstheme="minorHAnsi"/>
          <w:lang w:bidi="en-US"/>
        </w:rPr>
      </w:pPr>
      <w:r w:rsidRPr="00516FD5">
        <w:rPr>
          <w:rFonts w:cstheme="minorHAnsi"/>
          <w:lang w:bidi="en-US"/>
        </w:rPr>
        <w:t xml:space="preserve">The following product categories are </w:t>
      </w:r>
      <w:r w:rsidR="00EF6567">
        <w:rPr>
          <w:rFonts w:cstheme="minorHAnsi"/>
          <w:lang w:bidi="en-US"/>
        </w:rPr>
        <w:t>subject</w:t>
      </w:r>
      <w:r w:rsidRPr="00516FD5">
        <w:rPr>
          <w:rFonts w:cstheme="minorHAnsi"/>
          <w:lang w:bidi="en-US"/>
        </w:rPr>
        <w:t xml:space="preserve"> to this policy</w:t>
      </w:r>
      <w:r w:rsidR="00EF6567">
        <w:rPr>
          <w:rFonts w:cstheme="minorHAnsi"/>
          <w:lang w:bidi="en-US"/>
        </w:rPr>
        <w:t xml:space="preserve"> (reference</w:t>
      </w:r>
      <w:r w:rsidRPr="00516FD5">
        <w:rPr>
          <w:rFonts w:cstheme="minorHAnsi"/>
          <w:lang w:bidi="en-US"/>
        </w:rPr>
        <w:t xml:space="preserve"> </w:t>
      </w:r>
      <w:hyperlink r:id="rId20" w:history="1">
        <w:r w:rsidRPr="00EA2090">
          <w:rPr>
            <w:rStyle w:val="Hyperlink"/>
            <w:rFonts w:cstheme="minorHAnsi"/>
            <w:lang w:bidi="en-US"/>
          </w:rPr>
          <w:t xml:space="preserve">Environmental Protection Agency’s </w:t>
        </w:r>
        <w:r w:rsidR="00541377">
          <w:rPr>
            <w:rStyle w:val="Hyperlink"/>
            <w:rFonts w:cstheme="minorHAnsi"/>
            <w:lang w:bidi="en-US"/>
          </w:rPr>
          <w:t xml:space="preserve">(EPA) </w:t>
        </w:r>
        <w:r w:rsidRPr="00EA2090">
          <w:rPr>
            <w:rStyle w:val="Hyperlink"/>
            <w:rFonts w:cstheme="minorHAnsi"/>
            <w:lang w:bidi="en-US"/>
          </w:rPr>
          <w:t>Significant New Alternatives Policy (SNAP)</w:t>
        </w:r>
      </w:hyperlink>
      <w:r w:rsidR="00EF6567">
        <w:rPr>
          <w:rStyle w:val="Hyperlink"/>
          <w:rFonts w:cstheme="minorHAnsi"/>
          <w:lang w:bidi="en-US"/>
        </w:rPr>
        <w:t>)</w:t>
      </w:r>
      <w:r w:rsidRPr="00516FD5">
        <w:rPr>
          <w:rFonts w:cstheme="minorHAnsi"/>
          <w:lang w:bidi="en-US"/>
        </w:rPr>
        <w:t>:</w:t>
      </w:r>
    </w:p>
    <w:p w:rsidR="00454845" w:rsidRPr="00516FD5" w:rsidRDefault="00454845" w:rsidP="00454845">
      <w:pPr>
        <w:numPr>
          <w:ilvl w:val="0"/>
          <w:numId w:val="9"/>
        </w:numPr>
        <w:spacing w:before="120" w:line="240" w:lineRule="auto"/>
        <w:jc w:val="both"/>
        <w:rPr>
          <w:rFonts w:cstheme="minorHAnsi"/>
          <w:lang w:bidi="en-US"/>
        </w:rPr>
      </w:pPr>
      <w:r>
        <w:rPr>
          <w:rFonts w:cstheme="minorHAnsi"/>
          <w:lang w:bidi="en-US"/>
        </w:rPr>
        <w:t xml:space="preserve">Refrigeration and Air Conditioning, to include chillers, cold storage warehouses, commercial ice machines, household refrigerators and freezers, ice skating rinks, industrial process air conditioning, industrial process refrigeration, motor vehicle air conditioning, non-mechanical heat transfer systems, residential and light commercial air conditioning and heat pumps, residential dehumidifiers, refrigerated transport, retail food </w:t>
      </w:r>
      <w:proofErr w:type="spellStart"/>
      <w:r>
        <w:rPr>
          <w:rFonts w:cstheme="minorHAnsi"/>
          <w:lang w:bidi="en-US"/>
        </w:rPr>
        <w:t>refrigerations</w:t>
      </w:r>
      <w:proofErr w:type="spellEnd"/>
      <w:r>
        <w:rPr>
          <w:rFonts w:cstheme="minorHAnsi"/>
          <w:lang w:bidi="en-US"/>
        </w:rPr>
        <w:t>, vending machines, very low temperature refrigeration, water coolers.</w:t>
      </w:r>
    </w:p>
    <w:p w:rsidR="001A24A9" w:rsidRDefault="00454845" w:rsidP="00454845">
      <w:pPr>
        <w:numPr>
          <w:ilvl w:val="0"/>
          <w:numId w:val="9"/>
        </w:numPr>
        <w:spacing w:before="120" w:line="240" w:lineRule="auto"/>
        <w:jc w:val="both"/>
        <w:rPr>
          <w:rFonts w:cstheme="minorHAnsi"/>
          <w:lang w:bidi="en-US"/>
        </w:rPr>
      </w:pPr>
      <w:r>
        <w:rPr>
          <w:rFonts w:cstheme="minorHAnsi"/>
          <w:lang w:bidi="en-US"/>
        </w:rPr>
        <w:t>Foam Blowing Agents, to include</w:t>
      </w:r>
      <w:r w:rsidR="001A24A9">
        <w:rPr>
          <w:rFonts w:cstheme="minorHAnsi"/>
          <w:lang w:bidi="en-US"/>
        </w:rPr>
        <w:t>:</w:t>
      </w:r>
    </w:p>
    <w:p w:rsidR="001A24A9" w:rsidRDefault="001A24A9" w:rsidP="001A24A9">
      <w:pPr>
        <w:numPr>
          <w:ilvl w:val="1"/>
          <w:numId w:val="9"/>
        </w:numPr>
        <w:spacing w:before="120" w:line="240" w:lineRule="auto"/>
        <w:jc w:val="both"/>
        <w:rPr>
          <w:rFonts w:cstheme="minorHAnsi"/>
          <w:lang w:bidi="en-US"/>
        </w:rPr>
      </w:pPr>
      <w:r>
        <w:rPr>
          <w:rFonts w:cstheme="minorHAnsi"/>
          <w:lang w:bidi="en-US"/>
        </w:rPr>
        <w:t>R</w:t>
      </w:r>
      <w:r w:rsidR="00454845">
        <w:rPr>
          <w:rFonts w:cstheme="minorHAnsi"/>
          <w:lang w:bidi="en-US"/>
        </w:rPr>
        <w:t>ig</w:t>
      </w:r>
      <w:r w:rsidR="00523CFF">
        <w:rPr>
          <w:rFonts w:cstheme="minorHAnsi"/>
          <w:lang w:bidi="en-US"/>
        </w:rPr>
        <w:t xml:space="preserve">id </w:t>
      </w:r>
      <w:r>
        <w:rPr>
          <w:rFonts w:cstheme="minorHAnsi"/>
          <w:lang w:bidi="en-US"/>
        </w:rPr>
        <w:t xml:space="preserve">Polyurethane for appliances, foam spray (roofing and walls), marine flotation foam, sandwich panels (insulation for walls and metal doors), </w:t>
      </w:r>
      <w:proofErr w:type="spellStart"/>
      <w:r>
        <w:rPr>
          <w:rFonts w:cstheme="minorHAnsi"/>
          <w:lang w:bidi="en-US"/>
        </w:rPr>
        <w:t>slabstock</w:t>
      </w:r>
      <w:proofErr w:type="spellEnd"/>
      <w:r>
        <w:rPr>
          <w:rFonts w:cstheme="minorHAnsi"/>
          <w:lang w:bidi="en-US"/>
        </w:rPr>
        <w:t xml:space="preserve"> (insulation for panels and pipes), laminated </w:t>
      </w:r>
      <w:proofErr w:type="spellStart"/>
      <w:r>
        <w:rPr>
          <w:rFonts w:cstheme="minorHAnsi"/>
          <w:lang w:bidi="en-US"/>
        </w:rPr>
        <w:t>boardstock</w:t>
      </w:r>
      <w:proofErr w:type="spellEnd"/>
      <w:r>
        <w:rPr>
          <w:rFonts w:cstheme="minorHAnsi"/>
          <w:lang w:bidi="en-US"/>
        </w:rPr>
        <w:t xml:space="preserve"> (insulation for roofing and walls); </w:t>
      </w:r>
    </w:p>
    <w:p w:rsidR="001A24A9" w:rsidRDefault="001A24A9" w:rsidP="001A24A9">
      <w:pPr>
        <w:numPr>
          <w:ilvl w:val="1"/>
          <w:numId w:val="9"/>
        </w:numPr>
        <w:spacing w:before="120" w:line="240" w:lineRule="auto"/>
        <w:jc w:val="both"/>
        <w:rPr>
          <w:rFonts w:cstheme="minorHAnsi"/>
          <w:lang w:bidi="en-US"/>
        </w:rPr>
      </w:pPr>
      <w:r>
        <w:rPr>
          <w:rFonts w:cstheme="minorHAnsi"/>
          <w:lang w:bidi="en-US"/>
        </w:rPr>
        <w:t>Flexible Polyurethane (foam furniture, bedding, chair cushions, and shoe soles);</w:t>
      </w:r>
    </w:p>
    <w:p w:rsidR="00454845" w:rsidRDefault="001A24A9" w:rsidP="001A24A9">
      <w:pPr>
        <w:numPr>
          <w:ilvl w:val="1"/>
          <w:numId w:val="9"/>
        </w:numPr>
        <w:spacing w:before="120" w:line="240" w:lineRule="auto"/>
        <w:jc w:val="both"/>
        <w:rPr>
          <w:rFonts w:cstheme="minorHAnsi"/>
          <w:lang w:bidi="en-US"/>
        </w:rPr>
      </w:pPr>
      <w:r>
        <w:rPr>
          <w:rFonts w:cstheme="minorHAnsi"/>
          <w:lang w:bidi="en-US"/>
        </w:rPr>
        <w:lastRenderedPageBreak/>
        <w:t xml:space="preserve"> Integral Skin Polyurethane (car steering wheels, dashboards, and shoe soles);</w:t>
      </w:r>
    </w:p>
    <w:p w:rsidR="001A24A9" w:rsidRDefault="001A24A9" w:rsidP="001A24A9">
      <w:pPr>
        <w:numPr>
          <w:ilvl w:val="1"/>
          <w:numId w:val="9"/>
        </w:numPr>
        <w:spacing w:before="120" w:line="240" w:lineRule="auto"/>
        <w:jc w:val="both"/>
        <w:rPr>
          <w:rFonts w:cstheme="minorHAnsi"/>
          <w:lang w:bidi="en-US"/>
        </w:rPr>
      </w:pPr>
      <w:r>
        <w:rPr>
          <w:rFonts w:cstheme="minorHAnsi"/>
          <w:lang w:bidi="en-US"/>
        </w:rPr>
        <w:t xml:space="preserve">Polystyrene: Extruded Sheet (for packaging and buoyancy or flotation) and Extruded </w:t>
      </w:r>
      <w:proofErr w:type="spellStart"/>
      <w:r>
        <w:rPr>
          <w:rFonts w:cstheme="minorHAnsi"/>
          <w:lang w:bidi="en-US"/>
        </w:rPr>
        <w:t>Boardstock</w:t>
      </w:r>
      <w:proofErr w:type="spellEnd"/>
      <w:r>
        <w:rPr>
          <w:rFonts w:cstheme="minorHAnsi"/>
          <w:lang w:bidi="en-US"/>
        </w:rPr>
        <w:t xml:space="preserve"> &amp; Billet (insulation for roofing, walls, flooring, and pipes;</w:t>
      </w:r>
    </w:p>
    <w:p w:rsidR="001A24A9" w:rsidRDefault="001A24A9" w:rsidP="001A24A9">
      <w:pPr>
        <w:numPr>
          <w:ilvl w:val="1"/>
          <w:numId w:val="9"/>
        </w:numPr>
        <w:spacing w:before="120" w:line="240" w:lineRule="auto"/>
        <w:jc w:val="both"/>
        <w:rPr>
          <w:rFonts w:cstheme="minorHAnsi"/>
          <w:lang w:bidi="en-US"/>
        </w:rPr>
      </w:pPr>
      <w:r>
        <w:rPr>
          <w:rFonts w:cstheme="minorHAnsi"/>
          <w:lang w:bidi="en-US"/>
        </w:rPr>
        <w:t>Polyolefin (foam sheets and tubes);</w:t>
      </w:r>
    </w:p>
    <w:p w:rsidR="001A24A9" w:rsidRDefault="001A24A9" w:rsidP="001A24A9">
      <w:pPr>
        <w:numPr>
          <w:ilvl w:val="1"/>
          <w:numId w:val="9"/>
        </w:numPr>
        <w:spacing w:before="120" w:line="240" w:lineRule="auto"/>
        <w:jc w:val="both"/>
        <w:rPr>
          <w:rFonts w:cstheme="minorHAnsi"/>
          <w:lang w:bidi="en-US"/>
        </w:rPr>
      </w:pPr>
      <w:proofErr w:type="spellStart"/>
      <w:r>
        <w:rPr>
          <w:rFonts w:cstheme="minorHAnsi"/>
          <w:lang w:bidi="en-US"/>
        </w:rPr>
        <w:t>Polyisocyanurate</w:t>
      </w:r>
      <w:proofErr w:type="spellEnd"/>
      <w:r>
        <w:rPr>
          <w:rFonts w:cstheme="minorHAnsi"/>
          <w:lang w:bidi="en-US"/>
        </w:rPr>
        <w:t xml:space="preserve"> Laminated </w:t>
      </w:r>
      <w:proofErr w:type="spellStart"/>
      <w:r>
        <w:rPr>
          <w:rFonts w:cstheme="minorHAnsi"/>
          <w:lang w:bidi="en-US"/>
        </w:rPr>
        <w:t>Boardstock</w:t>
      </w:r>
      <w:proofErr w:type="spellEnd"/>
      <w:r>
        <w:rPr>
          <w:rFonts w:cstheme="minorHAnsi"/>
          <w:lang w:bidi="en-US"/>
        </w:rPr>
        <w:t xml:space="preserve"> (insulation for roofing and walls);</w:t>
      </w:r>
    </w:p>
    <w:p w:rsidR="001A24A9" w:rsidRPr="00516FD5" w:rsidRDefault="001A24A9" w:rsidP="001A24A9">
      <w:pPr>
        <w:numPr>
          <w:ilvl w:val="1"/>
          <w:numId w:val="9"/>
        </w:numPr>
        <w:spacing w:before="120" w:line="240" w:lineRule="auto"/>
        <w:jc w:val="both"/>
        <w:rPr>
          <w:rFonts w:cstheme="minorHAnsi"/>
          <w:lang w:bidi="en-US"/>
        </w:rPr>
      </w:pPr>
      <w:r>
        <w:rPr>
          <w:rFonts w:cstheme="minorHAnsi"/>
          <w:lang w:bidi="en-US"/>
        </w:rPr>
        <w:t xml:space="preserve">Phenolic Insulation Board &amp; </w:t>
      </w:r>
      <w:proofErr w:type="spellStart"/>
      <w:r>
        <w:rPr>
          <w:rFonts w:cstheme="minorHAnsi"/>
          <w:lang w:bidi="en-US"/>
        </w:rPr>
        <w:t>Bunstock</w:t>
      </w:r>
      <w:proofErr w:type="spellEnd"/>
      <w:r>
        <w:rPr>
          <w:rFonts w:cstheme="minorHAnsi"/>
          <w:lang w:bidi="en-US"/>
        </w:rPr>
        <w:t xml:space="preserve"> (insulation for roofing and walls);</w:t>
      </w:r>
    </w:p>
    <w:p w:rsidR="00454845" w:rsidRPr="00516FD5" w:rsidRDefault="001A24A9" w:rsidP="00454845">
      <w:pPr>
        <w:numPr>
          <w:ilvl w:val="0"/>
          <w:numId w:val="9"/>
        </w:numPr>
        <w:spacing w:before="120" w:line="240" w:lineRule="auto"/>
        <w:jc w:val="both"/>
        <w:rPr>
          <w:rFonts w:cstheme="minorHAnsi"/>
          <w:lang w:bidi="en-US"/>
        </w:rPr>
      </w:pPr>
      <w:r>
        <w:rPr>
          <w:rFonts w:cstheme="minorHAnsi"/>
          <w:lang w:bidi="en-US"/>
        </w:rPr>
        <w:t>Cleaning Solvents used to remove oil, grease, sold</w:t>
      </w:r>
      <w:r w:rsidR="00750770">
        <w:rPr>
          <w:rFonts w:cstheme="minorHAnsi"/>
          <w:lang w:bidi="en-US"/>
        </w:rPr>
        <w:t xml:space="preserve">er flux, and other contaminants, </w:t>
      </w:r>
      <w:r>
        <w:rPr>
          <w:rFonts w:cstheme="minorHAnsi"/>
          <w:lang w:bidi="en-US"/>
        </w:rPr>
        <w:t>to include metals, electronics, and precision cleaning;</w:t>
      </w:r>
    </w:p>
    <w:p w:rsidR="00454845" w:rsidRPr="00516FD5" w:rsidRDefault="00750770" w:rsidP="00454845">
      <w:pPr>
        <w:numPr>
          <w:ilvl w:val="0"/>
          <w:numId w:val="9"/>
        </w:numPr>
        <w:spacing w:before="120" w:line="240" w:lineRule="auto"/>
        <w:jc w:val="both"/>
        <w:rPr>
          <w:rFonts w:cstheme="minorHAnsi"/>
          <w:lang w:bidi="en-US"/>
        </w:rPr>
      </w:pPr>
      <w:r>
        <w:rPr>
          <w:rFonts w:cstheme="minorHAnsi"/>
          <w:lang w:bidi="en-US"/>
        </w:rPr>
        <w:t>Fire Suppression and Explosion Protection</w:t>
      </w:r>
    </w:p>
    <w:p w:rsidR="00454845" w:rsidRDefault="00750770" w:rsidP="00454845">
      <w:pPr>
        <w:numPr>
          <w:ilvl w:val="0"/>
          <w:numId w:val="9"/>
        </w:numPr>
        <w:spacing w:before="120" w:line="240" w:lineRule="auto"/>
        <w:jc w:val="both"/>
        <w:rPr>
          <w:rFonts w:cstheme="minorHAnsi"/>
          <w:lang w:bidi="en-US"/>
        </w:rPr>
      </w:pPr>
      <w:r>
        <w:rPr>
          <w:rFonts w:cstheme="minorHAnsi"/>
          <w:lang w:bidi="en-US"/>
        </w:rPr>
        <w:t>Aerosols, to include both propellants and solvents;</w:t>
      </w:r>
    </w:p>
    <w:p w:rsidR="00750770" w:rsidRDefault="00750770" w:rsidP="00454845">
      <w:pPr>
        <w:numPr>
          <w:ilvl w:val="0"/>
          <w:numId w:val="9"/>
        </w:numPr>
        <w:spacing w:before="120" w:line="240" w:lineRule="auto"/>
        <w:jc w:val="both"/>
        <w:rPr>
          <w:rFonts w:cstheme="minorHAnsi"/>
          <w:lang w:bidi="en-US"/>
        </w:rPr>
      </w:pPr>
      <w:proofErr w:type="spellStart"/>
      <w:r>
        <w:rPr>
          <w:rFonts w:cstheme="minorHAnsi"/>
          <w:lang w:bidi="en-US"/>
        </w:rPr>
        <w:t>Sterilants</w:t>
      </w:r>
      <w:proofErr w:type="spellEnd"/>
      <w:r>
        <w:rPr>
          <w:rFonts w:cstheme="minorHAnsi"/>
          <w:lang w:bidi="en-US"/>
        </w:rPr>
        <w:t xml:space="preserve"> (substances used to kill microorganisms on medical equipment and devices;</w:t>
      </w:r>
    </w:p>
    <w:p w:rsidR="00750770" w:rsidRPr="00516FD5" w:rsidRDefault="00750770" w:rsidP="00454845">
      <w:pPr>
        <w:numPr>
          <w:ilvl w:val="0"/>
          <w:numId w:val="9"/>
        </w:numPr>
        <w:spacing w:before="120" w:line="240" w:lineRule="auto"/>
        <w:jc w:val="both"/>
        <w:rPr>
          <w:rFonts w:cstheme="minorHAnsi"/>
          <w:lang w:bidi="en-US"/>
        </w:rPr>
      </w:pPr>
      <w:r>
        <w:rPr>
          <w:rFonts w:cstheme="minorHAnsi"/>
          <w:lang w:bidi="en-US"/>
        </w:rPr>
        <w:t>Adhesives, Coatings, and Inks</w:t>
      </w:r>
    </w:p>
    <w:p w:rsidR="0075761B" w:rsidRPr="00295C76" w:rsidRDefault="0075761B" w:rsidP="00295C76">
      <w:pPr>
        <w:pStyle w:val="Heading1"/>
      </w:pPr>
      <w:r w:rsidRPr="00295C76">
        <w:t>Policy</w:t>
      </w:r>
    </w:p>
    <w:p w:rsidR="001845D8" w:rsidRPr="001845D8" w:rsidRDefault="00C86F17" w:rsidP="001845D8">
      <w:pPr>
        <w:pStyle w:val="Heading2"/>
        <w:ind w:left="720" w:hanging="720"/>
      </w:pPr>
      <w:r>
        <w:t>1</w:t>
      </w:r>
      <w:r w:rsidRPr="00C86F17">
        <w:t>.</w:t>
      </w:r>
      <w:r w:rsidRPr="00C86F17">
        <w:tab/>
      </w:r>
      <w:r w:rsidR="001845D8" w:rsidRPr="001845D8">
        <w:t>Preference for products that do not contain HFCs or contain HFCs with a comparatively low global warming potential.</w:t>
      </w:r>
    </w:p>
    <w:p w:rsidR="00C86F17" w:rsidRPr="008F31AD" w:rsidRDefault="00C86F17" w:rsidP="00C86F17">
      <w:pPr>
        <w:pStyle w:val="NoSpacing"/>
        <w:numPr>
          <w:ilvl w:val="1"/>
          <w:numId w:val="3"/>
        </w:numPr>
        <w:spacing w:before="120"/>
        <w:jc w:val="both"/>
        <w:rPr>
          <w:rFonts w:asciiTheme="minorHAnsi" w:hAnsiTheme="minorHAnsi" w:cstheme="minorHAnsi"/>
          <w:sz w:val="22"/>
          <w:szCs w:val="22"/>
        </w:rPr>
      </w:pPr>
      <w:r w:rsidRPr="00472CEF">
        <w:rPr>
          <w:rFonts w:asciiTheme="minorHAnsi" w:hAnsiTheme="minorHAnsi" w:cstheme="minorHAnsi"/>
          <w:sz w:val="22"/>
          <w:szCs w:val="22"/>
        </w:rPr>
        <w:t xml:space="preserve">In any competitive procurement for </w:t>
      </w:r>
      <w:r w:rsidR="00EA2090">
        <w:rPr>
          <w:rFonts w:asciiTheme="minorHAnsi" w:hAnsiTheme="minorHAnsi" w:cstheme="minorHAnsi"/>
          <w:sz w:val="22"/>
          <w:szCs w:val="22"/>
        </w:rPr>
        <w:t>product</w:t>
      </w:r>
      <w:r w:rsidR="00CE2BFD">
        <w:rPr>
          <w:rFonts w:asciiTheme="minorHAnsi" w:hAnsiTheme="minorHAnsi" w:cstheme="minorHAnsi"/>
          <w:sz w:val="22"/>
          <w:szCs w:val="22"/>
        </w:rPr>
        <w:t>s, identified in the Scope of this Policy,</w:t>
      </w:r>
      <w:r w:rsidRPr="00472CEF">
        <w:rPr>
          <w:rFonts w:asciiTheme="minorHAnsi" w:hAnsiTheme="minorHAnsi" w:cstheme="minorHAnsi"/>
          <w:sz w:val="22"/>
          <w:szCs w:val="22"/>
        </w:rPr>
        <w:t xml:space="preserve"> ag</w:t>
      </w:r>
      <w:r>
        <w:rPr>
          <w:rFonts w:asciiTheme="minorHAnsi" w:hAnsiTheme="minorHAnsi" w:cstheme="minorHAnsi"/>
          <w:sz w:val="22"/>
          <w:szCs w:val="22"/>
        </w:rPr>
        <w:t>en</w:t>
      </w:r>
      <w:r w:rsidR="00EA2090">
        <w:rPr>
          <w:rFonts w:asciiTheme="minorHAnsi" w:hAnsiTheme="minorHAnsi" w:cstheme="minorHAnsi"/>
          <w:sz w:val="22"/>
          <w:szCs w:val="22"/>
        </w:rPr>
        <w:t>cies shall apply a minimum of 5</w:t>
      </w:r>
      <w:r w:rsidR="00E51291">
        <w:rPr>
          <w:rFonts w:asciiTheme="minorHAnsi" w:hAnsiTheme="minorHAnsi" w:cstheme="minorHAnsi"/>
          <w:sz w:val="22"/>
          <w:szCs w:val="22"/>
        </w:rPr>
        <w:t>%</w:t>
      </w:r>
      <w:r w:rsidRPr="00472CEF">
        <w:rPr>
          <w:rFonts w:asciiTheme="minorHAnsi" w:hAnsiTheme="minorHAnsi" w:cstheme="minorHAnsi"/>
          <w:sz w:val="22"/>
          <w:szCs w:val="22"/>
        </w:rPr>
        <w:t xml:space="preserve"> preference to each product </w:t>
      </w:r>
      <w:r>
        <w:rPr>
          <w:rFonts w:asciiTheme="minorHAnsi" w:hAnsiTheme="minorHAnsi" w:cstheme="minorHAnsi"/>
          <w:sz w:val="22"/>
          <w:szCs w:val="22"/>
        </w:rPr>
        <w:t xml:space="preserve">bid.  The preference shall </w:t>
      </w:r>
      <w:r w:rsidR="00CA3165">
        <w:rPr>
          <w:rFonts w:asciiTheme="minorHAnsi" w:hAnsiTheme="minorHAnsi" w:cstheme="minorHAnsi"/>
          <w:sz w:val="22"/>
          <w:szCs w:val="22"/>
        </w:rPr>
        <w:t>be a</w:t>
      </w:r>
      <w:r>
        <w:rPr>
          <w:rFonts w:asciiTheme="minorHAnsi" w:hAnsiTheme="minorHAnsi" w:cstheme="minorHAnsi"/>
          <w:sz w:val="22"/>
          <w:szCs w:val="22"/>
        </w:rPr>
        <w:t xml:space="preserve">pplied </w:t>
      </w:r>
      <w:r w:rsidR="00CA3165">
        <w:rPr>
          <w:rFonts w:asciiTheme="minorHAnsi" w:hAnsiTheme="minorHAnsi" w:cstheme="minorHAnsi"/>
          <w:sz w:val="22"/>
          <w:szCs w:val="22"/>
        </w:rPr>
        <w:t xml:space="preserve">to applicable product(s), </w:t>
      </w:r>
      <w:r>
        <w:rPr>
          <w:rFonts w:asciiTheme="minorHAnsi" w:hAnsiTheme="minorHAnsi" w:cstheme="minorHAnsi"/>
          <w:sz w:val="22"/>
          <w:szCs w:val="22"/>
        </w:rPr>
        <w:t xml:space="preserve">when </w:t>
      </w:r>
      <w:r w:rsidR="00EA2090">
        <w:rPr>
          <w:rFonts w:asciiTheme="minorHAnsi" w:hAnsiTheme="minorHAnsi" w:cstheme="minorHAnsi"/>
          <w:sz w:val="22"/>
          <w:szCs w:val="22"/>
        </w:rPr>
        <w:t>a bidder bids a product with an “Acceptable”</w:t>
      </w:r>
      <w:r w:rsidR="00541377">
        <w:rPr>
          <w:rFonts w:asciiTheme="minorHAnsi" w:hAnsiTheme="minorHAnsi" w:cstheme="minorHAnsi"/>
          <w:sz w:val="22"/>
          <w:szCs w:val="22"/>
        </w:rPr>
        <w:t xml:space="preserve"> Subs</w:t>
      </w:r>
      <w:r w:rsidR="00EA2090">
        <w:rPr>
          <w:rFonts w:asciiTheme="minorHAnsi" w:hAnsiTheme="minorHAnsi" w:cstheme="minorHAnsi"/>
          <w:sz w:val="22"/>
          <w:szCs w:val="22"/>
        </w:rPr>
        <w:t>titu</w:t>
      </w:r>
      <w:r w:rsidR="00541377">
        <w:rPr>
          <w:rFonts w:asciiTheme="minorHAnsi" w:hAnsiTheme="minorHAnsi" w:cstheme="minorHAnsi"/>
          <w:sz w:val="22"/>
          <w:szCs w:val="22"/>
        </w:rPr>
        <w:t>t</w:t>
      </w:r>
      <w:r w:rsidR="00EA2090">
        <w:rPr>
          <w:rFonts w:asciiTheme="minorHAnsi" w:hAnsiTheme="minorHAnsi" w:cstheme="minorHAnsi"/>
          <w:sz w:val="22"/>
          <w:szCs w:val="22"/>
        </w:rPr>
        <w:t>e Listing Status</w:t>
      </w:r>
      <w:r w:rsidR="00CA3165">
        <w:rPr>
          <w:rFonts w:asciiTheme="minorHAnsi" w:hAnsiTheme="minorHAnsi" w:cstheme="minorHAnsi"/>
          <w:sz w:val="22"/>
          <w:szCs w:val="22"/>
        </w:rPr>
        <w:t>, as identified</w:t>
      </w:r>
      <w:r w:rsidR="00541377">
        <w:rPr>
          <w:rFonts w:asciiTheme="minorHAnsi" w:hAnsiTheme="minorHAnsi" w:cstheme="minorHAnsi"/>
          <w:sz w:val="22"/>
          <w:szCs w:val="22"/>
        </w:rPr>
        <w:t xml:space="preserve"> by </w:t>
      </w:r>
      <w:r w:rsidR="00CA3165">
        <w:rPr>
          <w:rFonts w:asciiTheme="minorHAnsi" w:hAnsiTheme="minorHAnsi" w:cstheme="minorHAnsi"/>
          <w:sz w:val="22"/>
          <w:szCs w:val="22"/>
        </w:rPr>
        <w:t xml:space="preserve">the </w:t>
      </w:r>
      <w:hyperlink r:id="rId21" w:history="1">
        <w:r w:rsidR="00541377" w:rsidRPr="00541377">
          <w:rPr>
            <w:rStyle w:val="Hyperlink"/>
            <w:rFonts w:asciiTheme="minorHAnsi" w:hAnsiTheme="minorHAnsi" w:cstheme="minorHAnsi"/>
            <w:sz w:val="22"/>
            <w:szCs w:val="22"/>
          </w:rPr>
          <w:t>EPA SNAP Program</w:t>
        </w:r>
      </w:hyperlink>
      <w:r w:rsidR="00541377">
        <w:rPr>
          <w:rFonts w:asciiTheme="minorHAnsi" w:hAnsiTheme="minorHAnsi" w:cstheme="minorHAnsi"/>
          <w:sz w:val="22"/>
          <w:szCs w:val="22"/>
        </w:rPr>
        <w:t>.</w:t>
      </w:r>
      <w:r w:rsidR="00CA3165">
        <w:rPr>
          <w:rFonts w:asciiTheme="minorHAnsi" w:hAnsiTheme="minorHAnsi" w:cstheme="minorHAnsi"/>
          <w:sz w:val="22"/>
          <w:szCs w:val="22"/>
        </w:rPr>
        <w:t xml:space="preserve"> </w:t>
      </w:r>
    </w:p>
    <w:p w:rsidR="00C86F17" w:rsidRDefault="00C86F17" w:rsidP="00C86F17">
      <w:pPr>
        <w:pStyle w:val="NoSpacing"/>
        <w:numPr>
          <w:ilvl w:val="1"/>
          <w:numId w:val="3"/>
        </w:numPr>
        <w:spacing w:before="120" w:after="160"/>
        <w:jc w:val="both"/>
        <w:rPr>
          <w:rFonts w:asciiTheme="minorHAnsi" w:hAnsiTheme="minorHAnsi" w:cstheme="minorHAnsi"/>
          <w:sz w:val="22"/>
          <w:szCs w:val="22"/>
        </w:rPr>
      </w:pPr>
      <w:r w:rsidRPr="00472CEF">
        <w:rPr>
          <w:rFonts w:asciiTheme="minorHAnsi" w:hAnsiTheme="minorHAnsi" w:cstheme="minorHAnsi"/>
          <w:sz w:val="22"/>
          <w:szCs w:val="22"/>
        </w:rPr>
        <w:t>Preference language must be clearly stated and included in agency procurement requests and solicitations for</w:t>
      </w:r>
      <w:r>
        <w:rPr>
          <w:rFonts w:asciiTheme="minorHAnsi" w:hAnsiTheme="minorHAnsi" w:cstheme="minorHAnsi"/>
          <w:sz w:val="22"/>
          <w:szCs w:val="22"/>
        </w:rPr>
        <w:t xml:space="preserve"> applicable </w:t>
      </w:r>
      <w:r w:rsidRPr="00472CEF">
        <w:rPr>
          <w:rFonts w:asciiTheme="minorHAnsi" w:hAnsiTheme="minorHAnsi" w:cstheme="minorHAnsi"/>
          <w:sz w:val="22"/>
          <w:szCs w:val="22"/>
        </w:rPr>
        <w:t>products issued after the effective date of this policy.</w:t>
      </w:r>
    </w:p>
    <w:p w:rsidR="00C86F17" w:rsidRPr="00242D37" w:rsidRDefault="00541377" w:rsidP="00242D37">
      <w:pPr>
        <w:pStyle w:val="NoSpacing"/>
        <w:numPr>
          <w:ilvl w:val="1"/>
          <w:numId w:val="3"/>
        </w:numPr>
        <w:spacing w:before="120" w:after="160"/>
        <w:jc w:val="both"/>
        <w:rPr>
          <w:rFonts w:asciiTheme="minorHAnsi" w:hAnsiTheme="minorHAnsi" w:cstheme="minorHAnsi"/>
          <w:sz w:val="22"/>
          <w:szCs w:val="22"/>
        </w:rPr>
      </w:pPr>
      <w:r>
        <w:rPr>
          <w:rFonts w:asciiTheme="minorHAnsi" w:hAnsiTheme="minorHAnsi" w:cstheme="minorHAnsi"/>
          <w:sz w:val="22"/>
          <w:szCs w:val="22"/>
        </w:rPr>
        <w:t xml:space="preserve">Bidders may be required to provide </w:t>
      </w:r>
      <w:r w:rsidR="00C86F17">
        <w:rPr>
          <w:rFonts w:asciiTheme="minorHAnsi" w:hAnsiTheme="minorHAnsi" w:cstheme="minorHAnsi"/>
          <w:sz w:val="22"/>
          <w:szCs w:val="22"/>
        </w:rPr>
        <w:t xml:space="preserve">written </w:t>
      </w:r>
      <w:r>
        <w:rPr>
          <w:rFonts w:asciiTheme="minorHAnsi" w:hAnsiTheme="minorHAnsi" w:cstheme="minorHAnsi"/>
          <w:sz w:val="22"/>
          <w:szCs w:val="22"/>
        </w:rPr>
        <w:t>documentation to validate the use of acceptable substitute(s) for ozone-depleting substances</w:t>
      </w:r>
      <w:r w:rsidR="00242D37">
        <w:rPr>
          <w:rFonts w:asciiTheme="minorHAnsi" w:hAnsiTheme="minorHAnsi" w:cstheme="minorHAnsi"/>
          <w:sz w:val="22"/>
          <w:szCs w:val="22"/>
        </w:rPr>
        <w:t>.</w:t>
      </w:r>
    </w:p>
    <w:p w:rsidR="00242D37" w:rsidRDefault="00242D37" w:rsidP="00C86F17">
      <w:pPr>
        <w:pStyle w:val="Heading2"/>
      </w:pPr>
    </w:p>
    <w:p w:rsidR="00C86F17" w:rsidRPr="00826E56" w:rsidRDefault="00242D37" w:rsidP="00C86F17">
      <w:pPr>
        <w:pStyle w:val="Heading2"/>
      </w:pPr>
      <w:r>
        <w:t>2</w:t>
      </w:r>
      <w:r w:rsidR="00C86F17">
        <w:t>.</w:t>
      </w:r>
      <w:r w:rsidR="00C86F17">
        <w:tab/>
        <w:t>Agencies are not required to apply a preference when:</w:t>
      </w:r>
    </w:p>
    <w:p w:rsidR="00C86F17" w:rsidRPr="00FC0A7B" w:rsidRDefault="00C86F17" w:rsidP="00C86F17">
      <w:pPr>
        <w:pStyle w:val="NoSpacing"/>
        <w:numPr>
          <w:ilvl w:val="0"/>
          <w:numId w:val="5"/>
        </w:numPr>
        <w:spacing w:before="120"/>
        <w:jc w:val="both"/>
        <w:rPr>
          <w:rFonts w:asciiTheme="minorHAnsi" w:hAnsiTheme="minorHAnsi" w:cstheme="minorHAnsi"/>
          <w:sz w:val="22"/>
          <w:szCs w:val="22"/>
        </w:rPr>
      </w:pPr>
      <w:r w:rsidRPr="0020257B">
        <w:rPr>
          <w:rFonts w:asciiTheme="minorHAnsi" w:hAnsiTheme="minorHAnsi" w:cstheme="minorHAnsi"/>
          <w:sz w:val="22"/>
          <w:szCs w:val="22"/>
        </w:rPr>
        <w:t>Using a master contract or DES approved cooperative contract</w:t>
      </w:r>
      <w:r>
        <w:rPr>
          <w:rFonts w:asciiTheme="minorHAnsi" w:hAnsiTheme="minorHAnsi" w:cstheme="minorHAnsi"/>
          <w:sz w:val="22"/>
          <w:szCs w:val="22"/>
        </w:rPr>
        <w:t xml:space="preserve">, as DES </w:t>
      </w:r>
      <w:r w:rsidR="00546389">
        <w:rPr>
          <w:rFonts w:asciiTheme="minorHAnsi" w:hAnsiTheme="minorHAnsi" w:cstheme="minorHAnsi"/>
          <w:sz w:val="22"/>
          <w:szCs w:val="22"/>
        </w:rPr>
        <w:t>is responsible for applying</w:t>
      </w:r>
      <w:r>
        <w:rPr>
          <w:rFonts w:asciiTheme="minorHAnsi" w:hAnsiTheme="minorHAnsi" w:cstheme="minorHAnsi"/>
          <w:sz w:val="22"/>
          <w:szCs w:val="22"/>
        </w:rPr>
        <w:t xml:space="preserve"> the preference.</w:t>
      </w:r>
    </w:p>
    <w:p w:rsidR="00C86F17" w:rsidRPr="006C5E89" w:rsidRDefault="00C86F17" w:rsidP="00C86F17">
      <w:pPr>
        <w:pStyle w:val="NoSpacing"/>
        <w:spacing w:before="120"/>
        <w:ind w:left="1080"/>
        <w:jc w:val="both"/>
        <w:rPr>
          <w:szCs w:val="24"/>
        </w:rPr>
      </w:pPr>
    </w:p>
    <w:p w:rsidR="00C86F17" w:rsidRPr="003A7EE8" w:rsidRDefault="00242D37" w:rsidP="00C86F17">
      <w:pPr>
        <w:pStyle w:val="Heading2"/>
      </w:pPr>
      <w:r>
        <w:t>3</w:t>
      </w:r>
      <w:r w:rsidR="00C86F17" w:rsidRPr="00826E56">
        <w:t>.</w:t>
      </w:r>
      <w:r w:rsidR="00C86F17" w:rsidRPr="00826E56">
        <w:tab/>
      </w:r>
      <w:r w:rsidR="00C86F17" w:rsidRPr="003A7EE8">
        <w:t>Agencies will be required to complete environmental purchasing training.</w:t>
      </w:r>
    </w:p>
    <w:p w:rsidR="00C86F17" w:rsidRPr="002D62BC" w:rsidRDefault="00C86F17" w:rsidP="00C86F17">
      <w:pPr>
        <w:pStyle w:val="NoSpacing"/>
        <w:numPr>
          <w:ilvl w:val="0"/>
          <w:numId w:val="7"/>
        </w:numPr>
        <w:spacing w:before="120"/>
        <w:jc w:val="both"/>
        <w:rPr>
          <w:rFonts w:asciiTheme="minorHAnsi" w:hAnsiTheme="minorHAnsi" w:cstheme="minorHAnsi"/>
          <w:sz w:val="22"/>
          <w:szCs w:val="22"/>
        </w:rPr>
      </w:pPr>
      <w:r w:rsidRPr="002D62BC">
        <w:rPr>
          <w:rFonts w:asciiTheme="minorHAnsi" w:hAnsiTheme="minorHAnsi" w:cstheme="minorHAnsi"/>
          <w:sz w:val="22"/>
          <w:szCs w:val="22"/>
        </w:rPr>
        <w:t xml:space="preserve">Within 6 months of the effective date of this policy, personnel who are responsible for </w:t>
      </w:r>
      <w:r>
        <w:rPr>
          <w:rFonts w:asciiTheme="minorHAnsi" w:hAnsiTheme="minorHAnsi" w:cstheme="minorHAnsi"/>
          <w:sz w:val="22"/>
          <w:szCs w:val="22"/>
        </w:rPr>
        <w:t xml:space="preserve">small purchases, </w:t>
      </w:r>
      <w:r w:rsidRPr="002D62BC">
        <w:rPr>
          <w:rFonts w:asciiTheme="minorHAnsi" w:hAnsiTheme="minorHAnsi" w:cstheme="minorHAnsi"/>
          <w:sz w:val="22"/>
          <w:szCs w:val="22"/>
        </w:rPr>
        <w:t>competitive procurements</w:t>
      </w:r>
      <w:r>
        <w:rPr>
          <w:rFonts w:asciiTheme="minorHAnsi" w:hAnsiTheme="minorHAnsi" w:cstheme="minorHAnsi"/>
          <w:sz w:val="22"/>
          <w:szCs w:val="22"/>
        </w:rPr>
        <w:t>, and contract management activities</w:t>
      </w:r>
      <w:r w:rsidRPr="002D62BC">
        <w:rPr>
          <w:rFonts w:asciiTheme="minorHAnsi" w:hAnsiTheme="minorHAnsi" w:cstheme="minorHAnsi"/>
          <w:sz w:val="22"/>
          <w:szCs w:val="22"/>
        </w:rPr>
        <w:t xml:space="preserve"> shall complete the mandatory training </w:t>
      </w:r>
      <w:r w:rsidR="00041E07" w:rsidRPr="00041E07">
        <w:rPr>
          <w:rFonts w:asciiTheme="minorHAnsi" w:hAnsiTheme="minorHAnsi" w:cstheme="minorHAnsi"/>
          <w:sz w:val="22"/>
          <w:szCs w:val="22"/>
          <w:highlight w:val="yellow"/>
        </w:rPr>
        <w:t>(link)</w:t>
      </w:r>
      <w:r w:rsidR="00041E07">
        <w:rPr>
          <w:rFonts w:asciiTheme="minorHAnsi" w:hAnsiTheme="minorHAnsi" w:cstheme="minorHAnsi"/>
          <w:sz w:val="22"/>
          <w:szCs w:val="22"/>
        </w:rPr>
        <w:t xml:space="preserve"> </w:t>
      </w:r>
      <w:r w:rsidRPr="002D62BC">
        <w:rPr>
          <w:rFonts w:asciiTheme="minorHAnsi" w:hAnsiTheme="minorHAnsi" w:cstheme="minorHAnsi"/>
          <w:sz w:val="22"/>
          <w:szCs w:val="22"/>
        </w:rPr>
        <w:t>provided by DES available in the Learning Management System (LMS).</w:t>
      </w:r>
    </w:p>
    <w:p w:rsidR="00C86F17" w:rsidRPr="002D62BC" w:rsidRDefault="00C86F17" w:rsidP="00C86F17">
      <w:pPr>
        <w:pStyle w:val="NoSpacing"/>
        <w:numPr>
          <w:ilvl w:val="0"/>
          <w:numId w:val="7"/>
        </w:numPr>
        <w:spacing w:before="120"/>
        <w:jc w:val="both"/>
        <w:rPr>
          <w:rFonts w:asciiTheme="minorHAnsi" w:hAnsiTheme="minorHAnsi" w:cstheme="minorHAnsi"/>
          <w:sz w:val="22"/>
          <w:szCs w:val="22"/>
        </w:rPr>
      </w:pPr>
      <w:r w:rsidRPr="002D62BC">
        <w:rPr>
          <w:rFonts w:asciiTheme="minorHAnsi" w:hAnsiTheme="minorHAnsi" w:cstheme="minorHAnsi"/>
          <w:sz w:val="22"/>
          <w:szCs w:val="22"/>
        </w:rPr>
        <w:t xml:space="preserve">Employees assigned these responsibilities after the initial 6-month implementation period of this policy shall complete the required training within 90 days of assignment. Specifically, this applies to </w:t>
      </w:r>
      <w:r w:rsidRPr="002D62BC">
        <w:rPr>
          <w:rFonts w:asciiTheme="minorHAnsi" w:hAnsiTheme="minorHAnsi" w:cstheme="minorHAnsi"/>
          <w:sz w:val="22"/>
          <w:szCs w:val="22"/>
        </w:rPr>
        <w:lastRenderedPageBreak/>
        <w:t>all new employees, employee’s assigned new responsibilities/duties, and employees in new positions, who are responsible for competitive procurements.</w:t>
      </w:r>
    </w:p>
    <w:p w:rsidR="00C86F17" w:rsidRDefault="00C86F17" w:rsidP="00C86F17">
      <w:pPr>
        <w:pStyle w:val="Heading2"/>
      </w:pPr>
    </w:p>
    <w:p w:rsidR="00CE2BFD" w:rsidRDefault="00242D37" w:rsidP="00CE2BFD">
      <w:pPr>
        <w:pStyle w:val="NoSpacing"/>
        <w:spacing w:before="120"/>
        <w:jc w:val="both"/>
        <w:rPr>
          <w:rFonts w:asciiTheme="minorHAnsi" w:hAnsiTheme="minorHAnsi" w:cstheme="minorHAnsi"/>
          <w:color w:val="333333"/>
          <w:sz w:val="22"/>
          <w:szCs w:val="22"/>
        </w:rPr>
      </w:pPr>
      <w:r w:rsidRPr="00CE2BFD">
        <w:rPr>
          <w:rFonts w:asciiTheme="majorHAnsi" w:eastAsiaTheme="majorEastAsia" w:hAnsiTheme="majorHAnsi" w:cstheme="majorBidi"/>
          <w:color w:val="2F5496" w:themeColor="accent5" w:themeShade="BF"/>
          <w:sz w:val="26"/>
          <w:szCs w:val="26"/>
          <w:lang w:bidi="ar-SA"/>
        </w:rPr>
        <w:t>4</w:t>
      </w:r>
      <w:r w:rsidR="00C86F17" w:rsidRPr="00CE2BFD">
        <w:rPr>
          <w:rFonts w:asciiTheme="majorHAnsi" w:eastAsiaTheme="majorEastAsia" w:hAnsiTheme="majorHAnsi" w:cstheme="majorBidi"/>
          <w:color w:val="2F5496" w:themeColor="accent5" w:themeShade="BF"/>
          <w:sz w:val="26"/>
          <w:szCs w:val="26"/>
          <w:lang w:bidi="ar-SA"/>
        </w:rPr>
        <w:t>.</w:t>
      </w:r>
      <w:r w:rsidR="00C86F17" w:rsidRPr="00826E56">
        <w:tab/>
      </w:r>
      <w:r w:rsidR="00CE2BFD" w:rsidRPr="00CE2BFD">
        <w:rPr>
          <w:rFonts w:asciiTheme="majorHAnsi" w:eastAsiaTheme="majorEastAsia" w:hAnsiTheme="majorHAnsi" w:cstheme="majorBidi"/>
          <w:color w:val="2F5496" w:themeColor="accent5" w:themeShade="BF"/>
          <w:sz w:val="26"/>
          <w:szCs w:val="26"/>
          <w:lang w:bidi="ar-SA"/>
        </w:rPr>
        <w:t>Direct Buy Purchases</w:t>
      </w:r>
      <w:r w:rsidR="00CE2BFD">
        <w:rPr>
          <w:rFonts w:asciiTheme="minorHAnsi" w:hAnsiTheme="minorHAnsi" w:cstheme="minorHAnsi"/>
          <w:color w:val="333333"/>
          <w:sz w:val="22"/>
          <w:szCs w:val="22"/>
        </w:rPr>
        <w:t xml:space="preserve"> </w:t>
      </w:r>
    </w:p>
    <w:p w:rsidR="00CE2BFD" w:rsidRPr="00BD5FB3" w:rsidRDefault="00CE2BFD" w:rsidP="00CE2BFD">
      <w:pPr>
        <w:pStyle w:val="NoSpacing"/>
        <w:spacing w:before="120"/>
        <w:ind w:left="720"/>
        <w:jc w:val="both"/>
        <w:rPr>
          <w:rFonts w:asciiTheme="minorHAnsi" w:hAnsiTheme="minorHAnsi" w:cstheme="minorHAnsi"/>
          <w:sz w:val="22"/>
          <w:szCs w:val="22"/>
        </w:rPr>
      </w:pPr>
      <w:r>
        <w:rPr>
          <w:rFonts w:asciiTheme="minorHAnsi" w:hAnsiTheme="minorHAnsi" w:cstheme="minorHAnsi"/>
          <w:color w:val="333333"/>
          <w:sz w:val="22"/>
          <w:szCs w:val="22"/>
        </w:rPr>
        <w:t>Prior to purchasing products under the direct buy policy, agencies shall give consideration to products, subject to this policy, that do not contain HFCs or contain HFCs with comparatively low global warming potential.</w:t>
      </w:r>
    </w:p>
    <w:p w:rsidR="00CE2BFD" w:rsidRDefault="00CE2BFD" w:rsidP="00C86F17">
      <w:pPr>
        <w:pStyle w:val="Heading2"/>
        <w:ind w:left="720" w:hanging="720"/>
      </w:pPr>
    </w:p>
    <w:p w:rsidR="00C86F17" w:rsidRDefault="00CE2BFD" w:rsidP="00C86F17">
      <w:pPr>
        <w:pStyle w:val="Heading2"/>
        <w:ind w:left="720" w:hanging="720"/>
      </w:pPr>
      <w:r>
        <w:t>5.</w:t>
      </w:r>
      <w:r>
        <w:tab/>
      </w:r>
      <w:r w:rsidR="00C86F17" w:rsidRPr="00826E56">
        <w:t xml:space="preserve">Agencies will document </w:t>
      </w:r>
      <w:r w:rsidR="00C86F17">
        <w:t xml:space="preserve">compliance with </w:t>
      </w:r>
      <w:r w:rsidR="00C86F17" w:rsidRPr="00826E56">
        <w:t>this Policy.</w:t>
      </w:r>
    </w:p>
    <w:p w:rsidR="00C86F17" w:rsidRPr="00BD5FB3" w:rsidRDefault="00C86F17" w:rsidP="00C86F17">
      <w:pPr>
        <w:pStyle w:val="NoSpacing"/>
        <w:numPr>
          <w:ilvl w:val="0"/>
          <w:numId w:val="8"/>
        </w:numPr>
        <w:spacing w:before="120"/>
        <w:ind w:left="1080"/>
        <w:jc w:val="both"/>
        <w:rPr>
          <w:rFonts w:asciiTheme="minorHAnsi" w:hAnsiTheme="minorHAnsi" w:cstheme="minorHAnsi"/>
          <w:sz w:val="22"/>
          <w:szCs w:val="22"/>
        </w:rPr>
      </w:pPr>
      <w:r w:rsidRPr="00BD5FB3">
        <w:rPr>
          <w:rFonts w:asciiTheme="minorHAnsi" w:hAnsiTheme="minorHAnsi" w:cstheme="minorHAnsi"/>
          <w:sz w:val="22"/>
          <w:szCs w:val="22"/>
        </w:rPr>
        <w:t xml:space="preserve">Agencies shall use Washington’s Electronic Business Solution (WEBS) to report </w:t>
      </w:r>
      <w:r w:rsidR="004B4B30">
        <w:rPr>
          <w:rFonts w:asciiTheme="minorHAnsi" w:hAnsiTheme="minorHAnsi" w:cstheme="minorHAnsi"/>
          <w:sz w:val="22"/>
          <w:szCs w:val="22"/>
        </w:rPr>
        <w:t>HFC preferences</w:t>
      </w:r>
      <w:r w:rsidRPr="00BD5FB3">
        <w:rPr>
          <w:rFonts w:asciiTheme="minorHAnsi" w:hAnsiTheme="minorHAnsi" w:cstheme="minorHAnsi"/>
          <w:sz w:val="22"/>
          <w:szCs w:val="22"/>
        </w:rPr>
        <w:t xml:space="preserve"> that were included in solicitations posted on WEBS; and which of those attributes were included in the resulting awards. </w:t>
      </w:r>
    </w:p>
    <w:p w:rsidR="00C86F17" w:rsidRPr="00BD5FB3" w:rsidRDefault="00C86F17" w:rsidP="00C86F17">
      <w:pPr>
        <w:pStyle w:val="NoSpacing"/>
        <w:numPr>
          <w:ilvl w:val="0"/>
          <w:numId w:val="8"/>
        </w:numPr>
        <w:spacing w:before="120"/>
        <w:ind w:left="1080"/>
        <w:jc w:val="both"/>
        <w:rPr>
          <w:rFonts w:asciiTheme="minorHAnsi" w:hAnsiTheme="minorHAnsi" w:cstheme="minorHAnsi"/>
          <w:sz w:val="22"/>
          <w:szCs w:val="22"/>
        </w:rPr>
      </w:pPr>
      <w:r w:rsidRPr="00BD5FB3">
        <w:rPr>
          <w:rFonts w:asciiTheme="minorHAnsi" w:hAnsiTheme="minorHAnsi" w:cstheme="minorHAnsi"/>
          <w:sz w:val="22"/>
          <w:szCs w:val="22"/>
        </w:rPr>
        <w:t>Where an agency determines that it will not apply a preference</w:t>
      </w:r>
      <w:r w:rsidR="00BF61BD" w:rsidRPr="00BD5FB3">
        <w:rPr>
          <w:rFonts w:asciiTheme="minorHAnsi" w:hAnsiTheme="minorHAnsi" w:cstheme="minorHAnsi"/>
          <w:sz w:val="22"/>
          <w:szCs w:val="22"/>
        </w:rPr>
        <w:t xml:space="preserve"> for </w:t>
      </w:r>
      <w:r w:rsidR="00BF61BD" w:rsidRPr="00BD5FB3">
        <w:rPr>
          <w:rFonts w:asciiTheme="minorHAnsi" w:hAnsiTheme="minorHAnsi"/>
          <w:sz w:val="22"/>
          <w:szCs w:val="22"/>
        </w:rPr>
        <w:t>products that do not contain HFCs or contain HFCs with a comparatively low global warming potential</w:t>
      </w:r>
      <w:r w:rsidRPr="00BD5FB3">
        <w:rPr>
          <w:rFonts w:asciiTheme="minorHAnsi" w:hAnsiTheme="minorHAnsi" w:cstheme="minorHAnsi"/>
          <w:sz w:val="22"/>
          <w:szCs w:val="22"/>
        </w:rPr>
        <w:t>, the reasons for this determination will be documented in the procurement file</w:t>
      </w:r>
      <w:r w:rsidR="006A675E">
        <w:rPr>
          <w:rFonts w:asciiTheme="minorHAnsi" w:hAnsiTheme="minorHAnsi" w:cstheme="minorHAnsi"/>
          <w:sz w:val="22"/>
          <w:szCs w:val="22"/>
        </w:rPr>
        <w:t xml:space="preserve"> and in WEBS</w:t>
      </w:r>
      <w:r w:rsidRPr="00BD5FB3">
        <w:rPr>
          <w:rFonts w:asciiTheme="minorHAnsi" w:hAnsiTheme="minorHAnsi" w:cstheme="minorHAnsi"/>
          <w:sz w:val="22"/>
          <w:szCs w:val="22"/>
        </w:rPr>
        <w:t>.</w:t>
      </w:r>
    </w:p>
    <w:p w:rsidR="00C86F17" w:rsidRPr="00BD5FB3" w:rsidRDefault="00C86F17" w:rsidP="00C86F17">
      <w:pPr>
        <w:pStyle w:val="NoSpacing"/>
        <w:numPr>
          <w:ilvl w:val="0"/>
          <w:numId w:val="8"/>
        </w:numPr>
        <w:spacing w:before="120"/>
        <w:ind w:left="1080"/>
        <w:jc w:val="both"/>
        <w:rPr>
          <w:rFonts w:asciiTheme="minorHAnsi" w:hAnsiTheme="minorHAnsi" w:cstheme="minorHAnsi"/>
          <w:sz w:val="22"/>
          <w:szCs w:val="22"/>
        </w:rPr>
      </w:pPr>
      <w:r w:rsidRPr="00BD5FB3">
        <w:rPr>
          <w:rFonts w:asciiTheme="minorHAnsi" w:hAnsiTheme="minorHAnsi" w:cstheme="minorHAnsi"/>
          <w:sz w:val="22"/>
          <w:szCs w:val="22"/>
        </w:rPr>
        <w:t>Agencies will document and retain purchasing decisions that refle</w:t>
      </w:r>
      <w:r w:rsidR="00B40954" w:rsidRPr="00BD5FB3">
        <w:rPr>
          <w:rFonts w:asciiTheme="minorHAnsi" w:hAnsiTheme="minorHAnsi" w:cstheme="minorHAnsi"/>
          <w:sz w:val="22"/>
          <w:szCs w:val="22"/>
        </w:rPr>
        <w:t xml:space="preserve">ct compliance with RCW 39.26.310 </w:t>
      </w:r>
      <w:r w:rsidRPr="00BD5FB3">
        <w:rPr>
          <w:rFonts w:asciiTheme="minorHAnsi" w:hAnsiTheme="minorHAnsi" w:cstheme="minorHAnsi"/>
          <w:sz w:val="22"/>
          <w:szCs w:val="22"/>
        </w:rPr>
        <w:t>and this Policy.</w:t>
      </w:r>
    </w:p>
    <w:p w:rsidR="00C86F17" w:rsidRPr="00BD5FB3" w:rsidRDefault="00C86F17" w:rsidP="00C86F17">
      <w:pPr>
        <w:pStyle w:val="NoSpacing"/>
        <w:numPr>
          <w:ilvl w:val="0"/>
          <w:numId w:val="8"/>
        </w:numPr>
        <w:spacing w:before="120"/>
        <w:ind w:left="1080"/>
        <w:jc w:val="both"/>
        <w:rPr>
          <w:rFonts w:asciiTheme="minorHAnsi" w:hAnsiTheme="minorHAnsi" w:cstheme="minorHAnsi"/>
          <w:sz w:val="22"/>
          <w:szCs w:val="22"/>
        </w:rPr>
      </w:pPr>
      <w:r w:rsidRPr="00BD5FB3">
        <w:rPr>
          <w:rFonts w:asciiTheme="minorHAnsi" w:hAnsiTheme="minorHAnsi" w:cstheme="minorHAnsi"/>
          <w:color w:val="333333"/>
          <w:sz w:val="22"/>
          <w:szCs w:val="22"/>
        </w:rPr>
        <w:t xml:space="preserve">Agencies are expected to exercise sound professional judgment in implementing </w:t>
      </w:r>
      <w:r w:rsidR="00653889">
        <w:rPr>
          <w:rFonts w:asciiTheme="minorHAnsi" w:hAnsiTheme="minorHAnsi" w:cstheme="minorHAnsi"/>
          <w:color w:val="333333"/>
          <w:sz w:val="22"/>
          <w:szCs w:val="22"/>
        </w:rPr>
        <w:t>HFC</w:t>
      </w:r>
      <w:r w:rsidR="00546389">
        <w:rPr>
          <w:rFonts w:asciiTheme="minorHAnsi" w:hAnsiTheme="minorHAnsi" w:cstheme="minorHAnsi"/>
          <w:color w:val="333333"/>
          <w:sz w:val="22"/>
          <w:szCs w:val="22"/>
        </w:rPr>
        <w:t xml:space="preserve"> policy</w:t>
      </w:r>
      <w:r w:rsidRPr="00BD5FB3">
        <w:rPr>
          <w:rFonts w:asciiTheme="minorHAnsi" w:hAnsiTheme="minorHAnsi" w:cstheme="minorHAnsi"/>
          <w:color w:val="333333"/>
          <w:sz w:val="22"/>
          <w:szCs w:val="22"/>
        </w:rPr>
        <w:t>.</w:t>
      </w:r>
    </w:p>
    <w:p w:rsidR="00CE2BFD" w:rsidRPr="00D3431E" w:rsidRDefault="00C86F17" w:rsidP="00D3431E">
      <w:pPr>
        <w:pStyle w:val="NoSpacing"/>
        <w:numPr>
          <w:ilvl w:val="0"/>
          <w:numId w:val="8"/>
        </w:numPr>
        <w:spacing w:before="120"/>
        <w:ind w:left="1080"/>
        <w:jc w:val="both"/>
        <w:rPr>
          <w:rFonts w:asciiTheme="minorHAnsi" w:hAnsiTheme="minorHAnsi" w:cstheme="minorHAnsi"/>
          <w:sz w:val="22"/>
          <w:szCs w:val="22"/>
        </w:rPr>
      </w:pPr>
      <w:r w:rsidRPr="00BD5FB3">
        <w:rPr>
          <w:rFonts w:asciiTheme="minorHAnsi" w:hAnsiTheme="minorHAnsi" w:cstheme="minorHAnsi"/>
          <w:color w:val="333333"/>
          <w:sz w:val="22"/>
          <w:szCs w:val="22"/>
        </w:rPr>
        <w:t>The agency’s record of compliance with this policy may be factored into an agency’s procurement risk assessment.</w:t>
      </w:r>
    </w:p>
    <w:p w:rsidR="00C86F17" w:rsidRPr="003A7EE8" w:rsidRDefault="00C86F17" w:rsidP="00C86F17">
      <w:pPr>
        <w:pStyle w:val="Heading1"/>
      </w:pPr>
      <w:r>
        <w:t>Procedures</w:t>
      </w:r>
    </w:p>
    <w:p w:rsidR="00262D27" w:rsidRDefault="00262D27" w:rsidP="00C86F17">
      <w:r w:rsidRPr="004B7818">
        <w:rPr>
          <w:b/>
        </w:rPr>
        <w:t>Procedure:</w:t>
      </w:r>
      <w:r>
        <w:t xml:space="preserve">  </w:t>
      </w:r>
      <w:hyperlink r:id="rId22" w:history="1">
        <w:r w:rsidRPr="004A6AE7">
          <w:rPr>
            <w:rStyle w:val="Hyperlink"/>
          </w:rPr>
          <w:t>Environmental Procurement Decision Tree</w:t>
        </w:r>
      </w:hyperlink>
      <w:r>
        <w:t xml:space="preserve"> - </w:t>
      </w:r>
      <w:r w:rsidRPr="004B7818">
        <w:t>provide</w:t>
      </w:r>
      <w:r>
        <w:t>s</w:t>
      </w:r>
      <w:r w:rsidRPr="004B7818">
        <w:t xml:space="preserve"> guidance on which environmental requirements you need to apply to your specific procurement.</w:t>
      </w:r>
    </w:p>
    <w:p w:rsidR="00467692" w:rsidRDefault="00467692" w:rsidP="00C86F17">
      <w:pPr>
        <w:rPr>
          <w:rFonts w:cstheme="minorHAnsi"/>
          <w:b/>
          <w:lang w:eastAsia="zh-TW" w:bidi="en-US"/>
        </w:rPr>
      </w:pPr>
      <w:r w:rsidRPr="00467692">
        <w:rPr>
          <w:b/>
        </w:rPr>
        <w:t>Procedure:</w:t>
      </w:r>
      <w:r>
        <w:t xml:space="preserve">  </w:t>
      </w:r>
      <w:r w:rsidRPr="004A6AE7">
        <w:t>Environmental Preferable Purchasing Desk Aid</w:t>
      </w:r>
      <w:r w:rsidR="004A6AE7">
        <w:t xml:space="preserve"> </w:t>
      </w:r>
      <w:r w:rsidR="004A6AE7" w:rsidRPr="004A6AE7">
        <w:rPr>
          <w:highlight w:val="yellow"/>
        </w:rPr>
        <w:t>[link]</w:t>
      </w:r>
    </w:p>
    <w:p w:rsidR="00C86F17" w:rsidRDefault="00C86F17" w:rsidP="00C86F17">
      <w:pPr>
        <w:pStyle w:val="Heading1"/>
      </w:pPr>
      <w:r>
        <w:t>Appendices</w:t>
      </w:r>
    </w:p>
    <w:p w:rsidR="00C86F17" w:rsidRPr="00A13B72" w:rsidRDefault="00A13B72" w:rsidP="00C86F17">
      <w:pPr>
        <w:rPr>
          <w:rStyle w:val="Hyperlink"/>
        </w:rPr>
      </w:pPr>
      <w:r>
        <w:fldChar w:fldCharType="begin"/>
      </w:r>
      <w:r>
        <w:instrText>HYPERLINK "https://des.wa.gov/sites/default/files/public/documents/About/Procurement_reform/Policies/Draft/2019OctWkshp/SampleHFCLanguage.docx"</w:instrText>
      </w:r>
      <w:r>
        <w:fldChar w:fldCharType="separate"/>
      </w:r>
      <w:r w:rsidR="001754EF" w:rsidRPr="00A13B72">
        <w:rPr>
          <w:rStyle w:val="Hyperlink"/>
        </w:rPr>
        <w:t>Sample Contract Language</w:t>
      </w:r>
    </w:p>
    <w:p w:rsidR="00C86F17" w:rsidRDefault="00A13B72" w:rsidP="00C86F17">
      <w:pPr>
        <w:pStyle w:val="Heading1"/>
      </w:pPr>
      <w:r>
        <w:rPr>
          <w:rFonts w:asciiTheme="minorHAnsi" w:eastAsiaTheme="minorHAnsi" w:hAnsiTheme="minorHAnsi" w:cstheme="minorBidi"/>
          <w:color w:val="auto"/>
          <w:sz w:val="22"/>
          <w:szCs w:val="22"/>
        </w:rPr>
        <w:fldChar w:fldCharType="end"/>
      </w:r>
      <w:bookmarkStart w:id="0" w:name="_GoBack"/>
      <w:bookmarkEnd w:id="0"/>
      <w:r w:rsidR="00C86F17">
        <w:t>Forms/Instructions</w:t>
      </w:r>
    </w:p>
    <w:p w:rsidR="00C86F17" w:rsidRDefault="00C86F17" w:rsidP="00C86F17">
      <w:r w:rsidRPr="00B17253">
        <w:t>There are no fo</w:t>
      </w:r>
      <w:r>
        <w:t>rms associated with this policy</w:t>
      </w:r>
    </w:p>
    <w:p w:rsidR="00C86F17" w:rsidRDefault="00C86F17" w:rsidP="00C86F17">
      <w:pPr>
        <w:keepNext/>
        <w:keepLines/>
        <w:pBdr>
          <w:top w:val="single" w:sz="4" w:space="1" w:color="222A35" w:themeColor="text2" w:themeShade="80"/>
        </w:pBdr>
        <w:spacing w:before="240" w:after="0" w:line="240" w:lineRule="auto"/>
        <w:outlineLvl w:val="0"/>
        <w:rPr>
          <w:rFonts w:asciiTheme="majorHAnsi" w:eastAsiaTheme="majorEastAsia" w:hAnsiTheme="majorHAnsi" w:cstheme="majorBidi"/>
          <w:color w:val="1F4E79" w:themeColor="accent1" w:themeShade="80"/>
          <w:sz w:val="32"/>
          <w:szCs w:val="32"/>
        </w:rPr>
      </w:pPr>
      <w:r w:rsidRPr="002D4956">
        <w:rPr>
          <w:rFonts w:asciiTheme="majorHAnsi" w:eastAsiaTheme="majorEastAsia" w:hAnsiTheme="majorHAnsi" w:cstheme="majorBidi"/>
          <w:color w:val="1F4E79" w:themeColor="accent1" w:themeShade="80"/>
          <w:sz w:val="32"/>
          <w:szCs w:val="32"/>
        </w:rPr>
        <w:t>History</w:t>
      </w:r>
    </w:p>
    <w:p w:rsidR="00C86F17" w:rsidRPr="00A44C37" w:rsidRDefault="00C86F17" w:rsidP="00C86F17">
      <w:pPr>
        <w:keepNext/>
        <w:keepLines/>
        <w:spacing w:before="40" w:after="0"/>
        <w:outlineLvl w:val="2"/>
        <w:rPr>
          <w:rFonts w:asciiTheme="majorHAnsi" w:eastAsiaTheme="majorEastAsia" w:hAnsiTheme="majorHAnsi" w:cstheme="majorBidi"/>
          <w:color w:val="1F4D78" w:themeColor="accent1" w:themeShade="7F"/>
          <w:sz w:val="24"/>
          <w:szCs w:val="24"/>
        </w:rPr>
      </w:pPr>
      <w:r>
        <w:rPr>
          <w:rFonts w:asciiTheme="majorHAnsi" w:eastAsiaTheme="majorEastAsia" w:hAnsiTheme="majorHAnsi" w:cstheme="majorBidi"/>
          <w:color w:val="1F4D78" w:themeColor="accent1" w:themeShade="7F"/>
          <w:sz w:val="24"/>
          <w:szCs w:val="24"/>
        </w:rPr>
        <w:t>Adopted</w:t>
      </w:r>
    </w:p>
    <w:p w:rsidR="00C86F17" w:rsidRPr="00965D18" w:rsidRDefault="00C86F17" w:rsidP="00C86F17">
      <w:pPr>
        <w:spacing w:line="240" w:lineRule="auto"/>
        <w:ind w:left="360"/>
        <w:rPr>
          <w:rFonts w:cstheme="minorHAnsi"/>
          <w:sz w:val="20"/>
          <w:szCs w:val="20"/>
          <w:lang w:bidi="en-US"/>
        </w:rPr>
      </w:pPr>
      <w:r w:rsidRPr="00472CEF">
        <w:rPr>
          <w:rFonts w:cstheme="minorHAnsi"/>
          <w:sz w:val="20"/>
          <w:szCs w:val="20"/>
          <w:highlight w:val="yellow"/>
          <w:lang w:bidi="en-US"/>
        </w:rPr>
        <w:t>[DATE]</w:t>
      </w:r>
    </w:p>
    <w:p w:rsidR="00C86F17" w:rsidRPr="002D4956" w:rsidRDefault="00C86F17" w:rsidP="00C86F17">
      <w:pPr>
        <w:keepNext/>
        <w:keepLines/>
        <w:spacing w:before="40" w:after="0"/>
        <w:outlineLvl w:val="2"/>
        <w:rPr>
          <w:rFonts w:asciiTheme="majorHAnsi" w:eastAsiaTheme="majorEastAsia" w:hAnsiTheme="majorHAnsi" w:cstheme="majorBidi"/>
          <w:color w:val="1F4D78" w:themeColor="accent1" w:themeShade="7F"/>
          <w:sz w:val="24"/>
          <w:szCs w:val="24"/>
        </w:rPr>
      </w:pPr>
      <w:r w:rsidRPr="002D4956">
        <w:rPr>
          <w:rFonts w:asciiTheme="majorHAnsi" w:eastAsiaTheme="majorEastAsia" w:hAnsiTheme="majorHAnsi" w:cstheme="majorBidi"/>
          <w:color w:val="1F4D78" w:themeColor="accent1" w:themeShade="7F"/>
          <w:sz w:val="24"/>
          <w:szCs w:val="24"/>
        </w:rPr>
        <w:t>Amended</w:t>
      </w:r>
    </w:p>
    <w:p w:rsidR="00C86F17" w:rsidRDefault="00C86F17" w:rsidP="00467692">
      <w:pPr>
        <w:spacing w:line="240" w:lineRule="auto"/>
        <w:ind w:left="360"/>
      </w:pPr>
      <w:r>
        <w:rPr>
          <w:rFonts w:cstheme="minorHAnsi"/>
          <w:sz w:val="20"/>
          <w:szCs w:val="20"/>
          <w:lang w:bidi="en-US"/>
        </w:rPr>
        <w:t>There are no amendments to this policy.</w:t>
      </w:r>
      <w:r w:rsidR="00964413" w:rsidRPr="00295C76">
        <w:tab/>
      </w:r>
    </w:p>
    <w:p w:rsidR="00467692" w:rsidRDefault="00467692" w:rsidP="00A44C37">
      <w:pPr>
        <w:pBdr>
          <w:top w:val="single" w:sz="4" w:space="1" w:color="auto"/>
        </w:pBdr>
        <w:spacing w:after="0" w:line="240" w:lineRule="auto"/>
        <w:rPr>
          <w:rFonts w:cstheme="minorHAnsi"/>
          <w:sz w:val="20"/>
          <w:szCs w:val="20"/>
          <w:lang w:bidi="en-US"/>
        </w:rPr>
      </w:pPr>
    </w:p>
    <w:p w:rsidR="002D4956" w:rsidRPr="00A44C37" w:rsidRDefault="00467692" w:rsidP="00A44C37">
      <w:pPr>
        <w:pBdr>
          <w:top w:val="single" w:sz="4" w:space="1" w:color="auto"/>
        </w:pBdr>
        <w:spacing w:after="0" w:line="240" w:lineRule="auto"/>
        <w:rPr>
          <w:rFonts w:cstheme="minorHAnsi"/>
          <w:sz w:val="20"/>
          <w:szCs w:val="20"/>
          <w:lang w:bidi="en-US"/>
        </w:rPr>
      </w:pPr>
      <w:r>
        <w:rPr>
          <w:rFonts w:cstheme="minorHAnsi"/>
          <w:sz w:val="20"/>
          <w:szCs w:val="20"/>
          <w:lang w:bidi="en-US"/>
        </w:rPr>
        <w:t>There are no</w:t>
      </w:r>
      <w:r w:rsidRPr="002D4956">
        <w:rPr>
          <w:rFonts w:cstheme="minorHAnsi"/>
          <w:sz w:val="20"/>
          <w:szCs w:val="20"/>
          <w:lang w:bidi="en-US"/>
        </w:rPr>
        <w:t xml:space="preserve"> prior </w:t>
      </w:r>
      <w:r>
        <w:rPr>
          <w:rFonts w:cstheme="minorHAnsi"/>
          <w:sz w:val="20"/>
          <w:szCs w:val="20"/>
          <w:lang w:bidi="en-US"/>
        </w:rPr>
        <w:t>versions of this policy</w:t>
      </w:r>
    </w:p>
    <w:sectPr w:rsidR="002D4956" w:rsidRPr="00A44C37" w:rsidSect="00295C76">
      <w:headerReference w:type="even" r:id="rId23"/>
      <w:headerReference w:type="default" r:id="rId24"/>
      <w:footerReference w:type="even" r:id="rId25"/>
      <w:footerReference w:type="default" r:id="rId26"/>
      <w:headerReference w:type="first" r:id="rId27"/>
      <w:footerReference w:type="first" r:id="rId2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248" w:rsidRDefault="00732248" w:rsidP="005A2388">
      <w:pPr>
        <w:spacing w:after="0" w:line="240" w:lineRule="auto"/>
      </w:pPr>
      <w:r>
        <w:separator/>
      </w:r>
    </w:p>
  </w:endnote>
  <w:endnote w:type="continuationSeparator" w:id="0">
    <w:p w:rsidR="00732248" w:rsidRDefault="00732248" w:rsidP="005A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EF9" w:rsidRDefault="00F86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EF9" w:rsidRDefault="00F86E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EF9" w:rsidRDefault="00F86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248" w:rsidRDefault="00732248" w:rsidP="005A2388">
      <w:pPr>
        <w:spacing w:after="0" w:line="240" w:lineRule="auto"/>
      </w:pPr>
      <w:r>
        <w:separator/>
      </w:r>
    </w:p>
  </w:footnote>
  <w:footnote w:type="continuationSeparator" w:id="0">
    <w:p w:rsidR="00732248" w:rsidRDefault="00732248" w:rsidP="005A2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EF9" w:rsidRDefault="00F86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EF9" w:rsidRDefault="00F86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C76" w:rsidRDefault="00732248">
    <w:pPr>
      <w:pStyle w:val="Header"/>
    </w:pPr>
    <w:sdt>
      <w:sdtPr>
        <w:id w:val="3641430"/>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95C76" w:rsidRPr="00D0246A">
      <w:rPr>
        <w:rFonts w:cstheme="minorHAnsi"/>
        <w:noProof/>
      </w:rPr>
      <w:drawing>
        <wp:inline distT="0" distB="0" distL="0" distR="0" wp14:anchorId="2C959BD8" wp14:editId="02886FB6">
          <wp:extent cx="2162695" cy="365760"/>
          <wp:effectExtent l="0" t="0" r="9525" b="0"/>
          <wp:docPr id="1" name="Picture 2" descr="Department of Enterprise Services orange blue logo" title="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dis.wa.gov/des/PublishingImages/DES_logo_orange.jpg"/>
                  <pic:cNvPicPr>
                    <a:picLocks noChangeAspect="1" noChangeArrowheads="1"/>
                  </pic:cNvPicPr>
                </pic:nvPicPr>
                <pic:blipFill>
                  <a:blip r:embed="rId1"/>
                  <a:srcRect/>
                  <a:stretch>
                    <a:fillRect/>
                  </a:stretch>
                </pic:blipFill>
                <pic:spPr bwMode="auto">
                  <a:xfrm>
                    <a:off x="0" y="0"/>
                    <a:ext cx="2162695" cy="3657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1746"/>
    <w:multiLevelType w:val="hybridMultilevel"/>
    <w:tmpl w:val="1450B2D4"/>
    <w:lvl w:ilvl="0" w:tplc="A30A65FA">
      <w:start w:val="1"/>
      <w:numFmt w:val="lowerLetter"/>
      <w:lvlText w:val="%1."/>
      <w:lvlJc w:val="left"/>
      <w:pPr>
        <w:ind w:left="1080" w:hanging="360"/>
      </w:pPr>
      <w:rPr>
        <w:b w:val="0"/>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301D7"/>
    <w:multiLevelType w:val="hybridMultilevel"/>
    <w:tmpl w:val="A128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C4E4B"/>
    <w:multiLevelType w:val="hybridMultilevel"/>
    <w:tmpl w:val="AE80F8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B16277"/>
    <w:multiLevelType w:val="hybridMultilevel"/>
    <w:tmpl w:val="679AEE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8D298C"/>
    <w:multiLevelType w:val="hybridMultilevel"/>
    <w:tmpl w:val="1C52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BF1589"/>
    <w:multiLevelType w:val="hybridMultilevel"/>
    <w:tmpl w:val="1450B2D4"/>
    <w:lvl w:ilvl="0" w:tplc="A30A65FA">
      <w:start w:val="1"/>
      <w:numFmt w:val="lowerLetter"/>
      <w:lvlText w:val="%1."/>
      <w:lvlJc w:val="left"/>
      <w:pPr>
        <w:ind w:left="1080" w:hanging="360"/>
      </w:pPr>
      <w:rPr>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933C9"/>
    <w:multiLevelType w:val="hybridMultilevel"/>
    <w:tmpl w:val="A65215C6"/>
    <w:lvl w:ilvl="0" w:tplc="007851D4">
      <w:start w:val="1"/>
      <w:numFmt w:val="lowerLetter"/>
      <w:lvlText w:val="%1."/>
      <w:lvlJc w:val="left"/>
      <w:pPr>
        <w:ind w:left="900" w:hanging="450"/>
      </w:pPr>
      <w:rPr>
        <w:rFonts w:hint="default"/>
      </w:rPr>
    </w:lvl>
    <w:lvl w:ilvl="1" w:tplc="0409001B">
      <w:start w:val="1"/>
      <w:numFmt w:val="lowerRoman"/>
      <w:lvlText w:val="%2."/>
      <w:lvlJc w:val="righ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3A45FD2"/>
    <w:multiLevelType w:val="hybridMultilevel"/>
    <w:tmpl w:val="400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057C9"/>
    <w:multiLevelType w:val="hybridMultilevel"/>
    <w:tmpl w:val="8E0258A2"/>
    <w:lvl w:ilvl="0" w:tplc="E834CE7A">
      <w:start w:val="1"/>
      <w:numFmt w:val="decimal"/>
      <w:lvlText w:val="%1."/>
      <w:lvlJc w:val="left"/>
      <w:pPr>
        <w:ind w:left="360" w:hanging="360"/>
      </w:pPr>
      <w:rPr>
        <w:b/>
      </w:rPr>
    </w:lvl>
    <w:lvl w:ilvl="1" w:tplc="A30A65FA">
      <w:start w:val="1"/>
      <w:numFmt w:val="lowerLetter"/>
      <w:lvlText w:val="%2."/>
      <w:lvlJc w:val="left"/>
      <w:pPr>
        <w:ind w:left="1080" w:hanging="360"/>
      </w:pPr>
      <w:rPr>
        <w:b w:val="0"/>
        <w:sz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8"/>
  </w:num>
  <w:num w:numId="5">
    <w:abstractNumId w:val="0"/>
  </w:num>
  <w:num w:numId="6">
    <w:abstractNumId w:val="7"/>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E7"/>
    <w:rsid w:val="00024155"/>
    <w:rsid w:val="00041E07"/>
    <w:rsid w:val="000524CE"/>
    <w:rsid w:val="00080714"/>
    <w:rsid w:val="00090844"/>
    <w:rsid w:val="00095EF9"/>
    <w:rsid w:val="000A00BA"/>
    <w:rsid w:val="000E1F27"/>
    <w:rsid w:val="001529CD"/>
    <w:rsid w:val="001562B7"/>
    <w:rsid w:val="00157A23"/>
    <w:rsid w:val="001754EF"/>
    <w:rsid w:val="001845D8"/>
    <w:rsid w:val="001A24A9"/>
    <w:rsid w:val="001B741C"/>
    <w:rsid w:val="001C0E05"/>
    <w:rsid w:val="001C155C"/>
    <w:rsid w:val="00213B2A"/>
    <w:rsid w:val="00241EDE"/>
    <w:rsid w:val="00242D37"/>
    <w:rsid w:val="00262D27"/>
    <w:rsid w:val="00265A4F"/>
    <w:rsid w:val="00295C76"/>
    <w:rsid w:val="002B0F44"/>
    <w:rsid w:val="002D4956"/>
    <w:rsid w:val="002D6B65"/>
    <w:rsid w:val="002E618A"/>
    <w:rsid w:val="002F3837"/>
    <w:rsid w:val="003141E0"/>
    <w:rsid w:val="00340303"/>
    <w:rsid w:val="00387DBC"/>
    <w:rsid w:val="003A1538"/>
    <w:rsid w:val="003B4E6D"/>
    <w:rsid w:val="00440109"/>
    <w:rsid w:val="00441632"/>
    <w:rsid w:val="004472B0"/>
    <w:rsid w:val="00454845"/>
    <w:rsid w:val="00467692"/>
    <w:rsid w:val="004A6AE7"/>
    <w:rsid w:val="004B4B30"/>
    <w:rsid w:val="004D0CFF"/>
    <w:rsid w:val="00523CFF"/>
    <w:rsid w:val="005368B1"/>
    <w:rsid w:val="00541377"/>
    <w:rsid w:val="00546389"/>
    <w:rsid w:val="005A2388"/>
    <w:rsid w:val="005B48D9"/>
    <w:rsid w:val="005D45FD"/>
    <w:rsid w:val="005E616F"/>
    <w:rsid w:val="00602931"/>
    <w:rsid w:val="00625432"/>
    <w:rsid w:val="00627846"/>
    <w:rsid w:val="0063347B"/>
    <w:rsid w:val="00646BEC"/>
    <w:rsid w:val="00647369"/>
    <w:rsid w:val="00653889"/>
    <w:rsid w:val="006620E7"/>
    <w:rsid w:val="006A675E"/>
    <w:rsid w:val="00702CED"/>
    <w:rsid w:val="00715DAB"/>
    <w:rsid w:val="00732248"/>
    <w:rsid w:val="00750770"/>
    <w:rsid w:val="0075761B"/>
    <w:rsid w:val="007710A9"/>
    <w:rsid w:val="007822AD"/>
    <w:rsid w:val="00786EFD"/>
    <w:rsid w:val="007C09E8"/>
    <w:rsid w:val="008221D8"/>
    <w:rsid w:val="00826E56"/>
    <w:rsid w:val="00826FF5"/>
    <w:rsid w:val="00894AF6"/>
    <w:rsid w:val="008A59FC"/>
    <w:rsid w:val="008B6940"/>
    <w:rsid w:val="00924961"/>
    <w:rsid w:val="00932C56"/>
    <w:rsid w:val="00964413"/>
    <w:rsid w:val="00965D18"/>
    <w:rsid w:val="00A13B72"/>
    <w:rsid w:val="00A144AD"/>
    <w:rsid w:val="00A44C37"/>
    <w:rsid w:val="00A76FE6"/>
    <w:rsid w:val="00AA0AB3"/>
    <w:rsid w:val="00B02B67"/>
    <w:rsid w:val="00B0711F"/>
    <w:rsid w:val="00B14CD0"/>
    <w:rsid w:val="00B17253"/>
    <w:rsid w:val="00B40954"/>
    <w:rsid w:val="00B7420D"/>
    <w:rsid w:val="00B75D30"/>
    <w:rsid w:val="00BB7877"/>
    <w:rsid w:val="00BD273D"/>
    <w:rsid w:val="00BD5FB3"/>
    <w:rsid w:val="00BF0E69"/>
    <w:rsid w:val="00BF61BD"/>
    <w:rsid w:val="00C264CA"/>
    <w:rsid w:val="00C666A6"/>
    <w:rsid w:val="00C86F17"/>
    <w:rsid w:val="00CA3165"/>
    <w:rsid w:val="00CA6898"/>
    <w:rsid w:val="00CC4FD4"/>
    <w:rsid w:val="00CE2BFD"/>
    <w:rsid w:val="00CE2C57"/>
    <w:rsid w:val="00CE6479"/>
    <w:rsid w:val="00D0246A"/>
    <w:rsid w:val="00D3431E"/>
    <w:rsid w:val="00D50C70"/>
    <w:rsid w:val="00D7056D"/>
    <w:rsid w:val="00DB3AEC"/>
    <w:rsid w:val="00DC63DE"/>
    <w:rsid w:val="00DD5FA4"/>
    <w:rsid w:val="00DE3D1D"/>
    <w:rsid w:val="00E066B8"/>
    <w:rsid w:val="00E378E3"/>
    <w:rsid w:val="00E40466"/>
    <w:rsid w:val="00E51291"/>
    <w:rsid w:val="00E54934"/>
    <w:rsid w:val="00E70521"/>
    <w:rsid w:val="00E908CE"/>
    <w:rsid w:val="00EA2090"/>
    <w:rsid w:val="00ED3880"/>
    <w:rsid w:val="00EF6567"/>
    <w:rsid w:val="00F01EB6"/>
    <w:rsid w:val="00F23A3F"/>
    <w:rsid w:val="00F350FD"/>
    <w:rsid w:val="00F35E2E"/>
    <w:rsid w:val="00F562C8"/>
    <w:rsid w:val="00F86EF9"/>
    <w:rsid w:val="00F8711B"/>
    <w:rsid w:val="00F935E8"/>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234B40F-7959-42EA-A512-525C1277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1"/>
    <w:qFormat/>
    <w:rsid w:val="00B17253"/>
  </w:style>
  <w:style w:type="paragraph" w:styleId="Heading1">
    <w:name w:val="heading 1"/>
    <w:basedOn w:val="Normal"/>
    <w:next w:val="Normal"/>
    <w:link w:val="Heading1Char"/>
    <w:uiPriority w:val="9"/>
    <w:qFormat/>
    <w:rsid w:val="00295C76"/>
    <w:pPr>
      <w:keepNext/>
      <w:keepLines/>
      <w:pBdr>
        <w:top w:val="single" w:sz="4" w:space="1" w:color="auto"/>
      </w:pBdr>
      <w:spacing w:before="240" w:after="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295C76"/>
    <w:pPr>
      <w:keepNext/>
      <w:keepLines/>
      <w:spacing w:before="40" w:after="0"/>
      <w:outlineLvl w:val="1"/>
    </w:pPr>
    <w:rPr>
      <w:rFonts w:asciiTheme="majorHAnsi" w:eastAsiaTheme="majorEastAsia" w:hAnsiTheme="majorHAnsi" w:cstheme="majorBidi"/>
      <w:color w:val="2F5496" w:themeColor="accent5"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E6479"/>
    <w:pPr>
      <w:numPr>
        <w:ilvl w:val="1"/>
      </w:numPr>
      <w:spacing w:after="120" w:line="240" w:lineRule="auto"/>
    </w:pPr>
    <w:rPr>
      <w:rFonts w:ascii="Georgia" w:eastAsiaTheme="majorEastAsia" w:hAnsi="Georgia" w:cstheme="majorBidi"/>
      <w:b/>
      <w:iCs/>
      <w:noProof/>
      <w:color w:val="1F4E79" w:themeColor="accent1" w:themeShade="80"/>
      <w:lang w:eastAsia="zh-TW" w:bidi="en-US"/>
    </w:rPr>
  </w:style>
  <w:style w:type="character" w:customStyle="1" w:styleId="SubtitleChar">
    <w:name w:val="Subtitle Char"/>
    <w:basedOn w:val="DefaultParagraphFont"/>
    <w:link w:val="Subtitle"/>
    <w:uiPriority w:val="11"/>
    <w:rsid w:val="00CE6479"/>
    <w:rPr>
      <w:rFonts w:ascii="Georgia" w:eastAsiaTheme="majorEastAsia" w:hAnsi="Georgia" w:cstheme="majorBidi"/>
      <w:b/>
      <w:iCs/>
      <w:noProof/>
      <w:color w:val="1F4E79" w:themeColor="accent1" w:themeShade="80"/>
      <w:lang w:eastAsia="zh-TW" w:bidi="en-US"/>
    </w:rPr>
  </w:style>
  <w:style w:type="character" w:styleId="Hyperlink">
    <w:name w:val="Hyperlink"/>
    <w:basedOn w:val="DefaultParagraphFont"/>
    <w:uiPriority w:val="99"/>
    <w:unhideWhenUsed/>
    <w:rsid w:val="00CE6479"/>
    <w:rPr>
      <w:color w:val="0563C1" w:themeColor="hyperlink"/>
      <w:u w:val="single"/>
    </w:rPr>
  </w:style>
  <w:style w:type="paragraph" w:customStyle="1" w:styleId="InfoBlock">
    <w:name w:val="Info Block"/>
    <w:basedOn w:val="Normal"/>
    <w:link w:val="InfoBlockChar"/>
    <w:qFormat/>
    <w:rsid w:val="00CE6479"/>
    <w:pPr>
      <w:spacing w:before="60" w:after="60" w:line="240" w:lineRule="auto"/>
    </w:pPr>
    <w:rPr>
      <w:rFonts w:ascii="Arial" w:hAnsi="Arial" w:cs="Arial"/>
      <w:sz w:val="20"/>
      <w:szCs w:val="20"/>
      <w:lang w:bidi="en-US"/>
    </w:rPr>
  </w:style>
  <w:style w:type="character" w:customStyle="1" w:styleId="InfoBlockChar">
    <w:name w:val="Info Block Char"/>
    <w:basedOn w:val="DefaultParagraphFont"/>
    <w:link w:val="InfoBlock"/>
    <w:rsid w:val="00CE6479"/>
    <w:rPr>
      <w:rFonts w:ascii="Arial" w:hAnsi="Arial" w:cs="Arial"/>
      <w:sz w:val="20"/>
      <w:szCs w:val="20"/>
      <w:lang w:bidi="en-US"/>
    </w:rPr>
  </w:style>
  <w:style w:type="table" w:styleId="TableGrid">
    <w:name w:val="Table Grid"/>
    <w:basedOn w:val="TableNormal"/>
    <w:uiPriority w:val="59"/>
    <w:rsid w:val="00CE6479"/>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295C76"/>
    <w:pPr>
      <w:spacing w:after="0" w:line="240" w:lineRule="auto"/>
      <w:contextualSpacing/>
    </w:pPr>
    <w:rPr>
      <w:rFonts w:asciiTheme="majorHAnsi" w:eastAsiaTheme="majorEastAsia" w:hAnsiTheme="majorHAnsi" w:cstheme="majorBidi"/>
      <w:color w:val="1F4E79" w:themeColor="accent1" w:themeShade="80"/>
      <w:spacing w:val="-10"/>
      <w:kern w:val="28"/>
      <w:sz w:val="56"/>
      <w:szCs w:val="56"/>
    </w:rPr>
  </w:style>
  <w:style w:type="character" w:customStyle="1" w:styleId="TitleChar">
    <w:name w:val="Title Char"/>
    <w:basedOn w:val="DefaultParagraphFont"/>
    <w:link w:val="Title"/>
    <w:uiPriority w:val="10"/>
    <w:rsid w:val="00295C76"/>
    <w:rPr>
      <w:rFonts w:asciiTheme="majorHAnsi" w:eastAsiaTheme="majorEastAsia" w:hAnsiTheme="majorHAnsi" w:cstheme="majorBidi"/>
      <w:color w:val="1F4E79" w:themeColor="accent1" w:themeShade="80"/>
      <w:spacing w:val="-10"/>
      <w:kern w:val="28"/>
      <w:sz w:val="56"/>
      <w:szCs w:val="56"/>
    </w:rPr>
  </w:style>
  <w:style w:type="character" w:customStyle="1" w:styleId="Heading1Char">
    <w:name w:val="Heading 1 Char"/>
    <w:basedOn w:val="DefaultParagraphFont"/>
    <w:link w:val="Heading1"/>
    <w:uiPriority w:val="9"/>
    <w:rsid w:val="00295C76"/>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295C76"/>
    <w:rPr>
      <w:rFonts w:asciiTheme="majorHAnsi" w:eastAsiaTheme="majorEastAsia" w:hAnsiTheme="majorHAnsi" w:cstheme="majorBidi"/>
      <w:color w:val="2F5496" w:themeColor="accent5" w:themeShade="BF"/>
      <w:sz w:val="26"/>
      <w:szCs w:val="26"/>
    </w:rPr>
  </w:style>
  <w:style w:type="paragraph" w:styleId="NoSpacing">
    <w:name w:val="No Spacing"/>
    <w:aliases w:val="Normal 3,DES-No Spacing"/>
    <w:link w:val="NoSpacingChar"/>
    <w:uiPriority w:val="1"/>
    <w:qFormat/>
    <w:rsid w:val="00F935E8"/>
    <w:pPr>
      <w:spacing w:after="0" w:line="240" w:lineRule="auto"/>
    </w:pPr>
    <w:rPr>
      <w:rFonts w:ascii="Arial" w:hAnsi="Arial" w:cs="Arial"/>
      <w:sz w:val="20"/>
      <w:szCs w:val="20"/>
      <w:lang w:bidi="en-US"/>
    </w:rPr>
  </w:style>
  <w:style w:type="paragraph" w:styleId="ListParagraph">
    <w:name w:val="List Paragraph"/>
    <w:basedOn w:val="Normal"/>
    <w:uiPriority w:val="34"/>
    <w:qFormat/>
    <w:rsid w:val="00F935E8"/>
    <w:pPr>
      <w:ind w:left="720"/>
      <w:contextualSpacing/>
    </w:pPr>
  </w:style>
  <w:style w:type="paragraph" w:styleId="NormalWeb">
    <w:name w:val="Normal (Web)"/>
    <w:basedOn w:val="Normal"/>
    <w:uiPriority w:val="99"/>
    <w:semiHidden/>
    <w:unhideWhenUsed/>
    <w:rsid w:val="005E61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2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388"/>
  </w:style>
  <w:style w:type="paragraph" w:styleId="Footer">
    <w:name w:val="footer"/>
    <w:basedOn w:val="Normal"/>
    <w:link w:val="FooterChar"/>
    <w:uiPriority w:val="99"/>
    <w:unhideWhenUsed/>
    <w:rsid w:val="005A2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388"/>
  </w:style>
  <w:style w:type="paragraph" w:styleId="BalloonText">
    <w:name w:val="Balloon Text"/>
    <w:basedOn w:val="Normal"/>
    <w:link w:val="BalloonTextChar"/>
    <w:uiPriority w:val="99"/>
    <w:semiHidden/>
    <w:unhideWhenUsed/>
    <w:rsid w:val="00625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432"/>
    <w:rPr>
      <w:rFonts w:ascii="Segoe UI" w:hAnsi="Segoe UI" w:cs="Segoe UI"/>
      <w:sz w:val="18"/>
      <w:szCs w:val="18"/>
    </w:rPr>
  </w:style>
  <w:style w:type="character" w:styleId="FollowedHyperlink">
    <w:name w:val="FollowedHyperlink"/>
    <w:basedOn w:val="DefaultParagraphFont"/>
    <w:uiPriority w:val="99"/>
    <w:semiHidden/>
    <w:unhideWhenUsed/>
    <w:rsid w:val="008A59FC"/>
    <w:rPr>
      <w:color w:val="954F72" w:themeColor="followedHyperlink"/>
      <w:u w:val="single"/>
    </w:rPr>
  </w:style>
  <w:style w:type="paragraph" w:customStyle="1" w:styleId="Normal2">
    <w:name w:val="Normal2"/>
    <w:basedOn w:val="Normal"/>
    <w:link w:val="Normal2Char"/>
    <w:qFormat/>
    <w:rsid w:val="00C666A6"/>
    <w:pPr>
      <w:ind w:left="360"/>
    </w:pPr>
  </w:style>
  <w:style w:type="character" w:customStyle="1" w:styleId="Normal2Char">
    <w:name w:val="Normal2 Char"/>
    <w:basedOn w:val="DefaultParagraphFont"/>
    <w:link w:val="Normal2"/>
    <w:rsid w:val="00C666A6"/>
  </w:style>
  <w:style w:type="character" w:customStyle="1" w:styleId="NoSpacingChar">
    <w:name w:val="No Spacing Char"/>
    <w:aliases w:val="Normal 3 Char,DES-No Spacing Char"/>
    <w:basedOn w:val="DefaultParagraphFont"/>
    <w:link w:val="NoSpacing"/>
    <w:uiPriority w:val="1"/>
    <w:locked/>
    <w:rsid w:val="00964413"/>
    <w:rPr>
      <w:rFonts w:ascii="Arial" w:hAnsi="Arial" w:cs="Arial"/>
      <w:sz w:val="20"/>
      <w:szCs w:val="20"/>
      <w:lang w:bidi="en-US"/>
    </w:rPr>
  </w:style>
  <w:style w:type="character" w:styleId="CommentReference">
    <w:name w:val="annotation reference"/>
    <w:basedOn w:val="DefaultParagraphFont"/>
    <w:uiPriority w:val="99"/>
    <w:semiHidden/>
    <w:unhideWhenUsed/>
    <w:rsid w:val="007C09E8"/>
    <w:rPr>
      <w:sz w:val="16"/>
      <w:szCs w:val="16"/>
    </w:rPr>
  </w:style>
  <w:style w:type="paragraph" w:styleId="CommentText">
    <w:name w:val="annotation text"/>
    <w:basedOn w:val="Normal"/>
    <w:link w:val="CommentTextChar"/>
    <w:uiPriority w:val="99"/>
    <w:semiHidden/>
    <w:unhideWhenUsed/>
    <w:rsid w:val="007C09E8"/>
    <w:pPr>
      <w:spacing w:line="240" w:lineRule="auto"/>
    </w:pPr>
    <w:rPr>
      <w:sz w:val="20"/>
      <w:szCs w:val="20"/>
    </w:rPr>
  </w:style>
  <w:style w:type="character" w:customStyle="1" w:styleId="CommentTextChar">
    <w:name w:val="Comment Text Char"/>
    <w:basedOn w:val="DefaultParagraphFont"/>
    <w:link w:val="CommentText"/>
    <w:uiPriority w:val="99"/>
    <w:semiHidden/>
    <w:rsid w:val="007C09E8"/>
    <w:rPr>
      <w:sz w:val="20"/>
      <w:szCs w:val="20"/>
    </w:rPr>
  </w:style>
  <w:style w:type="paragraph" w:styleId="CommentSubject">
    <w:name w:val="annotation subject"/>
    <w:basedOn w:val="CommentText"/>
    <w:next w:val="CommentText"/>
    <w:link w:val="CommentSubjectChar"/>
    <w:uiPriority w:val="99"/>
    <w:semiHidden/>
    <w:unhideWhenUsed/>
    <w:rsid w:val="007C09E8"/>
    <w:rPr>
      <w:b/>
      <w:bCs/>
    </w:rPr>
  </w:style>
  <w:style w:type="character" w:customStyle="1" w:styleId="CommentSubjectChar">
    <w:name w:val="Comment Subject Char"/>
    <w:basedOn w:val="CommentTextChar"/>
    <w:link w:val="CommentSubject"/>
    <w:uiPriority w:val="99"/>
    <w:semiHidden/>
    <w:rsid w:val="007C0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539332">
      <w:bodyDiv w:val="1"/>
      <w:marLeft w:val="0"/>
      <w:marRight w:val="0"/>
      <w:marTop w:val="0"/>
      <w:marBottom w:val="0"/>
      <w:divBdr>
        <w:top w:val="none" w:sz="0" w:space="0" w:color="auto"/>
        <w:left w:val="none" w:sz="0" w:space="0" w:color="auto"/>
        <w:bottom w:val="none" w:sz="0" w:space="0" w:color="auto"/>
        <w:right w:val="none" w:sz="0" w:space="0" w:color="auto"/>
      </w:divBdr>
      <w:divsChild>
        <w:div w:id="1517111591">
          <w:marLeft w:val="0"/>
          <w:marRight w:val="0"/>
          <w:marTop w:val="0"/>
          <w:marBottom w:val="0"/>
          <w:divBdr>
            <w:top w:val="none" w:sz="0" w:space="0" w:color="auto"/>
            <w:left w:val="none" w:sz="0" w:space="0" w:color="auto"/>
            <w:bottom w:val="none" w:sz="0" w:space="0" w:color="auto"/>
            <w:right w:val="none" w:sz="0" w:space="0" w:color="auto"/>
          </w:divBdr>
          <w:divsChild>
            <w:div w:id="17316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eg.wa.gov/RCW/default.aspx?cite=39.26.100" TargetMode="External"/><Relationship Id="rId18" Type="http://schemas.openxmlformats.org/officeDocument/2006/relationships/hyperlink" Target="https://www.digitalarchives.wa.gov/GovernorLocke/eo/eo_04-01.ht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epa.gov/snap/snap-substitutes-sector" TargetMode="External"/><Relationship Id="rId7" Type="http://schemas.openxmlformats.org/officeDocument/2006/relationships/settings" Target="settings.xml"/><Relationship Id="rId12" Type="http://schemas.openxmlformats.org/officeDocument/2006/relationships/hyperlink" Target="https://apps.leg.wa.gov/rcw/default.aspx?Cite=39.26.010" TargetMode="External"/><Relationship Id="rId17" Type="http://schemas.openxmlformats.org/officeDocument/2006/relationships/hyperlink" Target="http://apps.leg.wa.gov/rcw/default.aspx?cite=39.26.16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pps.leg.wa.gov/rcw/default.aspx?cite=39.26&amp;full=true" TargetMode="External"/><Relationship Id="rId20" Type="http://schemas.openxmlformats.org/officeDocument/2006/relationships/hyperlink" Target="https://www.epa.gov/snap/snap-substitutes-secto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RCW/default.aspx?cite=28B.10.016"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lawfilesext.leg.wa.gov/biennium/2019-20/Pdf/Bills/Session%20Laws/House/1112-S2.SL.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governor.wa.gov/sites/default/files/exe_order/18-01%20SEEP%20Executive%20Order%20%28tmp%2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leg.wa.gov/RCW/default.aspx?cite=39.26.102" TargetMode="External"/><Relationship Id="rId22" Type="http://schemas.openxmlformats.org/officeDocument/2006/relationships/hyperlink" Target="https://360.articulate.com/review/content/f341f906-44d0-45c8-a4e2-2bc8b5106b3e/review"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D5D01CD5DBE4F89C499B2100A9B06" ma:contentTypeVersion="4" ma:contentTypeDescription="Create a new document." ma:contentTypeScope="" ma:versionID="5a87fae6ebe0b0d33baba2875e1e8dc9">
  <xsd:schema xmlns:xsd="http://www.w3.org/2001/XMLSchema" xmlns:xs="http://www.w3.org/2001/XMLSchema" xmlns:p="http://schemas.microsoft.com/office/2006/metadata/properties" xmlns:ns1="http://schemas.microsoft.com/sharepoint/v3" xmlns:ns3="4f5804d5-49c0-4153-b9d4-3ac3acf566d3" targetNamespace="http://schemas.microsoft.com/office/2006/metadata/properties" ma:root="true" ma:fieldsID="4e0ec86e47f6f93c192d379fd5a00283" ns1:_="" ns3: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3: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1"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4f5804d5-49c0-4153-b9d4-3ac3acf566d3">Template</Category>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BD46C-82B8-4C23-8284-CF97C39F1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DC5B9-333E-4F1C-8042-31BC928DCC39}">
  <ds:schemaRefs>
    <ds:schemaRef ds:uri="http://schemas.microsoft.com/sharepoint/v3/contenttype/forms"/>
  </ds:schemaRefs>
</ds:datastoreItem>
</file>

<file path=customXml/itemProps3.xml><?xml version="1.0" encoding="utf-8"?>
<ds:datastoreItem xmlns:ds="http://schemas.openxmlformats.org/officeDocument/2006/customXml" ds:itemID="{16E9353F-D45F-4816-9F9F-7DA7F0E3FC9A}">
  <ds:schemaRefs>
    <ds:schemaRef ds:uri="http://schemas.microsoft.com/office/2006/metadata/properties"/>
    <ds:schemaRef ds:uri="http://schemas.microsoft.com/office/infopath/2007/PartnerControls"/>
    <ds:schemaRef ds:uri="4f5804d5-49c0-4153-b9d4-3ac3acf566d3"/>
    <ds:schemaRef ds:uri="http://schemas.microsoft.com/sharepoint/v3"/>
  </ds:schemaRefs>
</ds:datastoreItem>
</file>

<file path=customXml/itemProps4.xml><?xml version="1.0" encoding="utf-8"?>
<ds:datastoreItem xmlns:ds="http://schemas.openxmlformats.org/officeDocument/2006/customXml" ds:itemID="{8453AF2B-2101-4D91-B673-094AC88B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Pre-Formatted Accessible Policy Template</vt:lpstr>
    </vt:vector>
  </TitlesOfParts>
  <Company>Washington Technology Solutions</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Pre-Formatted Accessible Policy Template</dc:title>
  <dc:subject/>
  <dc:creator>jack.zeigler@des.wa.gov</dc:creator>
  <cp:keywords/>
  <dc:description/>
  <cp:lastModifiedBy>Reynolds, Jennifer (DES)</cp:lastModifiedBy>
  <cp:revision>3</cp:revision>
  <cp:lastPrinted>2018-12-10T19:42:00Z</cp:lastPrinted>
  <dcterms:created xsi:type="dcterms:W3CDTF">2019-10-25T22:16:00Z</dcterms:created>
  <dcterms:modified xsi:type="dcterms:W3CDTF">2019-10-25T22:19:00Z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0x010100208D5D01CD5DBE4F89C499B2100A9B06</vt:lpwstr>
  </property>
</Properties>
</file>