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5A332" w14:textId="77777777" w:rsidR="00CE6479" w:rsidRPr="00D0246A" w:rsidRDefault="00CE6479" w:rsidP="00CE6479">
      <w:pPr>
        <w:pStyle w:val="Subtitle"/>
        <w:spacing w:after="0"/>
        <w:rPr>
          <w:rFonts w:asciiTheme="minorHAnsi" w:hAnsiTheme="minorHAnsi" w:cstheme="minorHAnsi"/>
        </w:rPr>
      </w:pPr>
      <w:r w:rsidRPr="00D0246A">
        <w:rPr>
          <w:rFonts w:asciiTheme="minorHAnsi" w:hAnsiTheme="minorHAnsi" w:cstheme="minorHAnsi"/>
          <w:lang w:eastAsia="en-US" w:bidi="ar-SA"/>
        </w:rPr>
        <w:drawing>
          <wp:inline distT="0" distB="0" distL="0" distR="0" wp14:anchorId="6009C39F" wp14:editId="71A2A44B">
            <wp:extent cx="2162695" cy="365760"/>
            <wp:effectExtent l="0" t="0" r="9525" b="0"/>
            <wp:docPr id="5" name="Picture 2" descr="Department of Enterprise Services orange blue logo" title="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repoint.dis.wa.gov/des/PublishingImages/DES_logo_orange.jpg"/>
                    <pic:cNvPicPr>
                      <a:picLocks noChangeAspect="1" noChangeArrowheads="1"/>
                    </pic:cNvPicPr>
                  </pic:nvPicPr>
                  <pic:blipFill>
                    <a:blip r:embed="rId8"/>
                    <a:srcRect/>
                    <a:stretch>
                      <a:fillRect/>
                    </a:stretch>
                  </pic:blipFill>
                  <pic:spPr bwMode="auto">
                    <a:xfrm>
                      <a:off x="0" y="0"/>
                      <a:ext cx="2162695" cy="365760"/>
                    </a:xfrm>
                    <a:prstGeom prst="rect">
                      <a:avLst/>
                    </a:prstGeom>
                    <a:noFill/>
                    <a:ln w="9525">
                      <a:noFill/>
                      <a:miter lim="800000"/>
                      <a:headEnd/>
                      <a:tailEnd/>
                    </a:ln>
                  </pic:spPr>
                </pic:pic>
              </a:graphicData>
            </a:graphic>
          </wp:inline>
        </w:drawing>
      </w:r>
    </w:p>
    <w:p w14:paraId="30E29273" w14:textId="77777777" w:rsidR="00CE6479" w:rsidRPr="00E54934" w:rsidRDefault="00CE6479" w:rsidP="00CE6479">
      <w:pPr>
        <w:pStyle w:val="Subtitle"/>
        <w:spacing w:after="0"/>
        <w:rPr>
          <w:rFonts w:asciiTheme="minorHAnsi" w:hAnsiTheme="minorHAnsi" w:cstheme="minorHAnsi"/>
          <w:b w:val="0"/>
        </w:rPr>
      </w:pPr>
      <w:commentRangeStart w:id="0"/>
      <w:r w:rsidRPr="00D0246A">
        <w:rPr>
          <w:rFonts w:asciiTheme="minorHAnsi" w:hAnsiTheme="minorHAnsi" w:cstheme="minorHAnsi"/>
        </w:rPr>
        <w:t xml:space="preserve">Enterprise Services Policy No. </w:t>
      </w:r>
      <w:r w:rsidR="00B75D30">
        <w:rPr>
          <w:rFonts w:asciiTheme="minorHAnsi" w:hAnsiTheme="minorHAnsi" w:cstheme="minorHAnsi"/>
        </w:rPr>
        <w:t xml:space="preserve"> </w:t>
      </w:r>
      <w:r w:rsidR="00026EBF">
        <w:rPr>
          <w:rFonts w:asciiTheme="minorHAnsi" w:hAnsiTheme="minorHAnsi" w:cstheme="minorHAnsi"/>
        </w:rPr>
        <w:t>POL-DES-</w:t>
      </w:r>
      <w:r w:rsidR="00633EB2">
        <w:rPr>
          <w:rFonts w:asciiTheme="minorHAnsi" w:hAnsiTheme="minorHAnsi" w:cstheme="minorHAnsi"/>
        </w:rPr>
        <w:t>170-00</w:t>
      </w:r>
      <w:commentRangeEnd w:id="0"/>
      <w:r w:rsidR="00C22015">
        <w:rPr>
          <w:rStyle w:val="CommentReference"/>
          <w:rFonts w:asciiTheme="minorHAnsi" w:eastAsiaTheme="minorHAnsi" w:hAnsiTheme="minorHAnsi" w:cstheme="minorBidi"/>
          <w:b w:val="0"/>
          <w:iCs w:val="0"/>
          <w:noProof w:val="0"/>
          <w:color w:val="auto"/>
          <w:lang w:eastAsia="en-US" w:bidi="ar-SA"/>
        </w:rPr>
        <w:commentReference w:id="0"/>
      </w:r>
    </w:p>
    <w:p w14:paraId="7F192515" w14:textId="77777777" w:rsidR="00CE6479" w:rsidRPr="00157A23" w:rsidRDefault="00877E2E" w:rsidP="002B0F44">
      <w:pPr>
        <w:pStyle w:val="Title"/>
        <w:rPr>
          <w:sz w:val="28"/>
          <w:szCs w:val="28"/>
          <w:lang w:eastAsia="zh-TW" w:bidi="en-US"/>
        </w:rPr>
      </w:pPr>
      <w:r>
        <w:rPr>
          <w:color w:val="1F3864" w:themeColor="accent5" w:themeShade="80"/>
        </w:rPr>
        <w:t>Co</w:t>
      </w:r>
      <w:r w:rsidR="00633EB2">
        <w:rPr>
          <w:color w:val="1F3864" w:themeColor="accent5" w:themeShade="80"/>
        </w:rPr>
        <w:t>mplaints and Protest</w:t>
      </w:r>
      <w:r w:rsidR="0018253D">
        <w:rPr>
          <w:color w:val="1F3864" w:themeColor="accent5" w:themeShade="80"/>
        </w:rPr>
        <w:t xml:space="preserve"> </w:t>
      </w:r>
      <w:r>
        <w:rPr>
          <w:color w:val="1F3864" w:themeColor="accent5" w:themeShade="80"/>
        </w:rPr>
        <w:t>Policy</w:t>
      </w:r>
    </w:p>
    <w:p w14:paraId="02B098A2" w14:textId="77777777" w:rsidR="00877E2E" w:rsidRPr="00625432" w:rsidRDefault="00CE6479" w:rsidP="00877E2E">
      <w:pPr>
        <w:pStyle w:val="InfoBlock"/>
        <w:pBdr>
          <w:top w:val="single" w:sz="4" w:space="1" w:color="auto"/>
        </w:pBdr>
        <w:rPr>
          <w:rFonts w:asciiTheme="minorHAnsi" w:hAnsiTheme="minorHAnsi" w:cstheme="minorHAnsi"/>
          <w:sz w:val="22"/>
          <w:szCs w:val="22"/>
        </w:rPr>
      </w:pPr>
      <w:r w:rsidRPr="00157A23">
        <w:rPr>
          <w:rFonts w:asciiTheme="minorHAnsi" w:hAnsiTheme="minorHAnsi" w:cstheme="minorHAnsi"/>
          <w:b/>
          <w:color w:val="000000" w:themeColor="text1"/>
          <w:sz w:val="22"/>
          <w:szCs w:val="22"/>
          <w:lang w:eastAsia="zh-TW"/>
        </w:rPr>
        <w:t>Applies to</w:t>
      </w:r>
      <w:r w:rsidRPr="00625432">
        <w:rPr>
          <w:rFonts w:asciiTheme="minorHAnsi" w:hAnsiTheme="minorHAnsi" w:cstheme="minorHAnsi"/>
          <w:sz w:val="22"/>
          <w:szCs w:val="22"/>
          <w:lang w:eastAsia="zh-TW"/>
        </w:rPr>
        <w:t>:</w:t>
      </w:r>
      <w:r w:rsidR="00BB7877">
        <w:rPr>
          <w:rFonts w:asciiTheme="minorHAnsi" w:hAnsiTheme="minorHAnsi" w:cstheme="minorHAnsi"/>
          <w:sz w:val="22"/>
          <w:szCs w:val="22"/>
          <w:lang w:eastAsia="zh-TW"/>
        </w:rPr>
        <w:t xml:space="preserve"> </w:t>
      </w:r>
      <w:r w:rsidR="00877E2E">
        <w:rPr>
          <w:rFonts w:asciiTheme="minorHAnsi" w:hAnsiTheme="minorHAnsi" w:cstheme="minorHAnsi"/>
          <w:sz w:val="22"/>
          <w:szCs w:val="22"/>
          <w:lang w:eastAsia="zh-TW"/>
        </w:rPr>
        <w:t>Any state office or activity of the executive branches of state government, including state agencies, departments, offices, divisions, boards, commissions, institutions of higher education as defined in</w:t>
      </w:r>
      <w:r w:rsidR="00877E2E">
        <w:rPr>
          <w:rFonts w:asciiTheme="minorHAnsi" w:hAnsiTheme="minorHAnsi" w:cstheme="minorHAnsi"/>
          <w:color w:val="FF0000"/>
          <w:sz w:val="22"/>
          <w:szCs w:val="22"/>
          <w:lang w:eastAsia="zh-TW"/>
        </w:rPr>
        <w:t xml:space="preserve"> </w:t>
      </w:r>
      <w:hyperlink r:id="rId11" w:history="1">
        <w:r w:rsidR="00877E2E" w:rsidRPr="00D7056D">
          <w:rPr>
            <w:rStyle w:val="Hyperlink"/>
            <w:rFonts w:asciiTheme="minorHAnsi" w:hAnsiTheme="minorHAnsi" w:cstheme="minorHAnsi"/>
            <w:sz w:val="22"/>
            <w:szCs w:val="22"/>
            <w:lang w:eastAsia="zh-TW"/>
          </w:rPr>
          <w:t>RCW 28B.10.016</w:t>
        </w:r>
      </w:hyperlink>
      <w:r w:rsidR="00877E2E" w:rsidRPr="002D4956">
        <w:rPr>
          <w:rFonts w:asciiTheme="minorHAnsi" w:hAnsiTheme="minorHAnsi" w:cstheme="minorHAnsi"/>
          <w:color w:val="FF0000"/>
          <w:sz w:val="22"/>
          <w:szCs w:val="22"/>
          <w:lang w:eastAsia="zh-TW"/>
        </w:rPr>
        <w:t xml:space="preserve"> </w:t>
      </w:r>
      <w:r w:rsidR="00877E2E">
        <w:rPr>
          <w:rFonts w:asciiTheme="minorHAnsi" w:hAnsiTheme="minorHAnsi" w:cstheme="minorHAnsi"/>
          <w:sz w:val="22"/>
          <w:szCs w:val="22"/>
          <w:lang w:eastAsia="zh-TW"/>
        </w:rPr>
        <w:t>and correctional and other types of institutions.</w:t>
      </w:r>
    </w:p>
    <w:p w14:paraId="4BDC3805" w14:textId="77777777" w:rsidR="002B0F44" w:rsidRPr="00625432" w:rsidRDefault="002B0F44" w:rsidP="002B0F44">
      <w:pPr>
        <w:pStyle w:val="InfoBlock"/>
        <w:pBdr>
          <w:top w:val="single" w:sz="4" w:space="1" w:color="auto"/>
        </w:pBdr>
        <w:rPr>
          <w:rFonts w:asciiTheme="minorHAnsi" w:hAnsiTheme="minorHAnsi" w:cstheme="minorHAnsi"/>
          <w:sz w:val="22"/>
          <w:szCs w:val="22"/>
        </w:rPr>
      </w:pPr>
    </w:p>
    <w:p w14:paraId="5A5E085C" w14:textId="77777777" w:rsidR="00CE6479" w:rsidRPr="00625432" w:rsidRDefault="00CE6479" w:rsidP="00CE6479">
      <w:pPr>
        <w:spacing w:after="0"/>
        <w:rPr>
          <w:rFonts w:cstheme="minorHAnsi"/>
          <w:lang w:eastAsia="zh-TW" w:bidi="en-US"/>
        </w:rPr>
      </w:pPr>
      <w:r w:rsidRPr="00157A23">
        <w:rPr>
          <w:rFonts w:cstheme="minorHAnsi"/>
          <w:b/>
          <w:lang w:eastAsia="zh-TW" w:bidi="en-US"/>
        </w:rPr>
        <w:t>Authorizing sources</w:t>
      </w:r>
      <w:r w:rsidRPr="00625432">
        <w:rPr>
          <w:rFonts w:cstheme="minorHAnsi"/>
          <w:lang w:eastAsia="zh-TW" w:bidi="en-US"/>
        </w:rPr>
        <w:t>:</w:t>
      </w:r>
    </w:p>
    <w:p w14:paraId="64739B85" w14:textId="77777777" w:rsidR="00EB433F" w:rsidRPr="00C50642" w:rsidRDefault="00633EB2" w:rsidP="00EB433F">
      <w:pPr>
        <w:pStyle w:val="InfoBlock"/>
        <w:numPr>
          <w:ilvl w:val="0"/>
          <w:numId w:val="4"/>
        </w:numPr>
        <w:spacing w:before="0" w:after="0"/>
        <w:rPr>
          <w:rStyle w:val="Hyperlink"/>
          <w:rFonts w:asciiTheme="minorHAnsi" w:hAnsiTheme="minorHAnsi" w:cstheme="minorHAnsi"/>
          <w:color w:val="auto"/>
          <w:sz w:val="22"/>
          <w:szCs w:val="22"/>
          <w:u w:val="none"/>
        </w:rPr>
      </w:pPr>
      <w:r w:rsidRPr="00033A9F">
        <w:rPr>
          <w:rFonts w:asciiTheme="minorHAnsi" w:hAnsiTheme="minorHAnsi" w:cstheme="minorHAnsi"/>
          <w:sz w:val="22"/>
          <w:szCs w:val="22"/>
        </w:rPr>
        <w:t>State Law</w:t>
      </w:r>
      <w:r w:rsidRPr="00EB508F">
        <w:rPr>
          <w:rFonts w:asciiTheme="minorHAnsi" w:hAnsiTheme="minorHAnsi" w:cstheme="minorHAnsi"/>
          <w:sz w:val="22"/>
          <w:szCs w:val="22"/>
        </w:rPr>
        <w:t xml:space="preserve"> </w:t>
      </w:r>
      <w:hyperlink r:id="rId12" w:history="1">
        <w:r w:rsidRPr="0094055C">
          <w:rPr>
            <w:rStyle w:val="Hyperlink"/>
            <w:rFonts w:asciiTheme="minorHAnsi" w:hAnsiTheme="minorHAnsi" w:cstheme="minorHAnsi"/>
            <w:lang w:eastAsia="zh-TW"/>
          </w:rPr>
          <w:t>RCW 39.26.170</w:t>
        </w:r>
      </w:hyperlink>
    </w:p>
    <w:p w14:paraId="42221EF3" w14:textId="77777777" w:rsidR="00877E2E" w:rsidRPr="009C7FB8" w:rsidRDefault="00877E2E" w:rsidP="00877E2E">
      <w:pPr>
        <w:pStyle w:val="InfoBlock"/>
        <w:spacing w:before="0" w:after="0"/>
        <w:ind w:left="720"/>
        <w:rPr>
          <w:rFonts w:asciiTheme="minorHAnsi" w:hAnsiTheme="minorHAnsi" w:cstheme="minorHAnsi"/>
          <w:sz w:val="22"/>
          <w:szCs w:val="22"/>
        </w:rPr>
      </w:pPr>
    </w:p>
    <w:p w14:paraId="320A1DC1" w14:textId="77777777" w:rsidR="00CE6479" w:rsidRPr="00625432" w:rsidRDefault="00CE6479" w:rsidP="000E1F27">
      <w:pPr>
        <w:spacing w:after="60"/>
        <w:rPr>
          <w:rFonts w:cstheme="minorHAnsi"/>
          <w:lang w:eastAsia="zh-TW" w:bidi="en-US"/>
        </w:rPr>
      </w:pPr>
      <w:r w:rsidRPr="00157A23">
        <w:rPr>
          <w:rFonts w:cstheme="minorHAnsi"/>
          <w:b/>
          <w:lang w:eastAsia="zh-TW" w:bidi="en-US"/>
        </w:rPr>
        <w:t>Effective date</w:t>
      </w:r>
      <w:r w:rsidRPr="00625432">
        <w:rPr>
          <w:rFonts w:cstheme="minorHAnsi"/>
          <w:lang w:eastAsia="zh-TW" w:bidi="en-US"/>
        </w:rPr>
        <w:t xml:space="preserve">: </w:t>
      </w:r>
      <w:r w:rsidR="00BB7877">
        <w:rPr>
          <w:rFonts w:cstheme="minorHAnsi"/>
        </w:rPr>
        <w:t xml:space="preserve"> </w:t>
      </w:r>
      <w:r w:rsidR="00633EB2" w:rsidRPr="00633EB2">
        <w:rPr>
          <w:rFonts w:cstheme="minorHAnsi"/>
          <w:highlight w:val="yellow"/>
        </w:rPr>
        <w:t>_________</w:t>
      </w:r>
      <w:r w:rsidR="00033A9F" w:rsidRPr="00633EB2">
        <w:rPr>
          <w:rFonts w:cstheme="minorHAnsi"/>
          <w:highlight w:val="yellow"/>
        </w:rPr>
        <w:t>, 2020</w:t>
      </w:r>
    </w:p>
    <w:p w14:paraId="492447E9" w14:textId="77777777" w:rsidR="00CE6479" w:rsidRPr="00625432" w:rsidRDefault="00CE6479" w:rsidP="000E1F27">
      <w:pPr>
        <w:spacing w:after="60"/>
        <w:rPr>
          <w:rFonts w:cstheme="minorHAnsi"/>
          <w:lang w:eastAsia="zh-TW" w:bidi="en-US"/>
        </w:rPr>
      </w:pPr>
      <w:r w:rsidRPr="00157A23">
        <w:rPr>
          <w:rFonts w:cstheme="minorHAnsi"/>
          <w:b/>
          <w:lang w:eastAsia="zh-TW" w:bidi="en-US"/>
        </w:rPr>
        <w:t>Last update</w:t>
      </w:r>
      <w:r w:rsidRPr="00625432">
        <w:rPr>
          <w:rFonts w:cstheme="minorHAnsi"/>
          <w:lang w:eastAsia="zh-TW" w:bidi="en-US"/>
        </w:rPr>
        <w:t xml:space="preserve">: </w:t>
      </w:r>
      <w:r w:rsidR="00C666A6">
        <w:rPr>
          <w:rFonts w:cstheme="minorHAnsi"/>
        </w:rPr>
        <w:t xml:space="preserve"> </w:t>
      </w:r>
      <w:r w:rsidR="00633EB2">
        <w:rPr>
          <w:rFonts w:cstheme="minorHAnsi"/>
        </w:rPr>
        <w:t>January 8, 2015</w:t>
      </w:r>
    </w:p>
    <w:p w14:paraId="0FE78479" w14:textId="77777777" w:rsidR="00CE6479" w:rsidRPr="00877E2E" w:rsidRDefault="00CE6479" w:rsidP="000E1F27">
      <w:pPr>
        <w:spacing w:after="60"/>
        <w:rPr>
          <w:rFonts w:cstheme="minorHAnsi"/>
          <w:i/>
          <w:lang w:eastAsia="zh-TW" w:bidi="en-US"/>
        </w:rPr>
      </w:pPr>
      <w:r w:rsidRPr="00157A23">
        <w:rPr>
          <w:rFonts w:cstheme="minorHAnsi"/>
          <w:b/>
          <w:lang w:eastAsia="zh-TW" w:bidi="en-US"/>
        </w:rPr>
        <w:t>Sunset review date</w:t>
      </w:r>
      <w:r w:rsidRPr="00625432">
        <w:rPr>
          <w:rFonts w:cstheme="minorHAnsi"/>
          <w:lang w:eastAsia="zh-TW" w:bidi="en-US"/>
        </w:rPr>
        <w:t xml:space="preserve">: </w:t>
      </w:r>
      <w:r w:rsidR="00033A9F">
        <w:rPr>
          <w:rFonts w:cstheme="minorHAnsi"/>
        </w:rPr>
        <w:t xml:space="preserve"> </w:t>
      </w:r>
      <w:r w:rsidR="00033A9F">
        <w:rPr>
          <w:rFonts w:cstheme="minorHAnsi"/>
          <w:i/>
        </w:rPr>
        <w:t>5 years from effective date</w:t>
      </w:r>
    </w:p>
    <w:p w14:paraId="3FD1CCBB" w14:textId="77777777" w:rsidR="00F935E8" w:rsidRPr="00F935E8" w:rsidRDefault="00CE6479" w:rsidP="000E1F27">
      <w:pPr>
        <w:pStyle w:val="InfoBlock"/>
      </w:pPr>
      <w:r w:rsidRPr="00157A23">
        <w:rPr>
          <w:rFonts w:asciiTheme="minorHAnsi" w:hAnsiTheme="minorHAnsi" w:cstheme="minorHAnsi"/>
          <w:b/>
          <w:sz w:val="22"/>
          <w:szCs w:val="22"/>
          <w:lang w:eastAsia="zh-TW"/>
        </w:rPr>
        <w:t>Approved by</w:t>
      </w:r>
      <w:r w:rsidRPr="00625432">
        <w:rPr>
          <w:rFonts w:asciiTheme="minorHAnsi" w:hAnsiTheme="minorHAnsi" w:cstheme="minorHAnsi"/>
          <w:sz w:val="22"/>
          <w:szCs w:val="22"/>
          <w:lang w:eastAsia="zh-TW"/>
        </w:rPr>
        <w:t xml:space="preserve">: </w:t>
      </w:r>
      <w:r w:rsidR="00F35E2E">
        <w:rPr>
          <w:rFonts w:asciiTheme="minorHAnsi" w:hAnsiTheme="minorHAnsi" w:cstheme="minorHAnsi"/>
          <w:sz w:val="22"/>
          <w:szCs w:val="22"/>
          <w:lang w:eastAsia="zh-TW"/>
        </w:rPr>
        <w:t>_______________________________________</w:t>
      </w:r>
      <w:r w:rsidR="00877E2E">
        <w:rPr>
          <w:rFonts w:asciiTheme="minorHAnsi" w:hAnsiTheme="minorHAnsi" w:cstheme="minorHAnsi"/>
          <w:sz w:val="22"/>
          <w:szCs w:val="22"/>
          <w:lang w:eastAsia="zh-TW"/>
        </w:rPr>
        <w:t>Chris Liu</w:t>
      </w:r>
      <w:r w:rsidR="00F01EB6">
        <w:rPr>
          <w:rFonts w:asciiTheme="minorHAnsi" w:hAnsiTheme="minorHAnsi" w:cstheme="minorHAnsi"/>
          <w:sz w:val="22"/>
          <w:szCs w:val="22"/>
        </w:rPr>
        <w:t>, Director</w:t>
      </w:r>
    </w:p>
    <w:p w14:paraId="6EA7F34E" w14:textId="77777777" w:rsidR="00CE6479" w:rsidRDefault="00B17253" w:rsidP="00F935E8">
      <w:pPr>
        <w:pStyle w:val="Heading1"/>
        <w:pBdr>
          <w:top w:val="single" w:sz="4" w:space="1" w:color="auto"/>
        </w:pBdr>
      </w:pPr>
      <w:r>
        <w:t>Reason for Policy</w:t>
      </w:r>
    </w:p>
    <w:p w14:paraId="3C2DDB37" w14:textId="77777777" w:rsidR="000042FB" w:rsidRPr="003611A3" w:rsidRDefault="000042FB" w:rsidP="000042FB">
      <w:pPr>
        <w:autoSpaceDE w:val="0"/>
        <w:autoSpaceDN w:val="0"/>
        <w:adjustRightInd w:val="0"/>
        <w:spacing w:after="0" w:line="240" w:lineRule="auto"/>
        <w:rPr>
          <w:rFonts w:cstheme="minorHAnsi"/>
          <w:color w:val="000000"/>
        </w:rPr>
      </w:pPr>
      <w:r>
        <w:rPr>
          <w:rFonts w:cstheme="minorHAnsi"/>
          <w:color w:val="000000"/>
        </w:rPr>
        <w:t>A</w:t>
      </w:r>
      <w:r w:rsidRPr="00633EB2">
        <w:rPr>
          <w:rFonts w:cstheme="minorHAnsi"/>
          <w:color w:val="000000"/>
        </w:rPr>
        <w:t xml:space="preserve">gencies with delegated authority must have a procurement complaint process and protest process, both of which are clear and transparent. </w:t>
      </w:r>
      <w:r w:rsidRPr="003611A3">
        <w:rPr>
          <w:rFonts w:cstheme="minorHAnsi"/>
          <w:color w:val="000000"/>
        </w:rPr>
        <w:t>The purpose of this policy is to provide minimum requirements for a complaint and protest process, criteria for filing a complaint or protest, agency response requirements and timelines</w:t>
      </w:r>
      <w:r>
        <w:rPr>
          <w:rFonts w:cstheme="minorHAnsi"/>
          <w:color w:val="000000"/>
        </w:rPr>
        <w:t>, and clear and transparent processes</w:t>
      </w:r>
      <w:r w:rsidRPr="003611A3">
        <w:rPr>
          <w:rFonts w:cstheme="minorHAnsi"/>
          <w:color w:val="000000"/>
        </w:rPr>
        <w:t xml:space="preserve">. </w:t>
      </w:r>
    </w:p>
    <w:p w14:paraId="463FABC4" w14:textId="77777777" w:rsidR="006F398C" w:rsidRPr="002F2A07" w:rsidRDefault="006F398C" w:rsidP="002F2A07">
      <w:pPr>
        <w:pStyle w:val="Heading1"/>
        <w:numPr>
          <w:ilvl w:val="0"/>
          <w:numId w:val="5"/>
        </w:numPr>
        <w:spacing w:line="240" w:lineRule="auto"/>
        <w:rPr>
          <w:rFonts w:ascii="Calibri" w:hAnsi="Calibri" w:cstheme="minorHAnsi"/>
          <w:b/>
          <w:sz w:val="22"/>
          <w:szCs w:val="22"/>
        </w:rPr>
      </w:pPr>
      <w:r w:rsidRPr="002F2A07">
        <w:rPr>
          <w:rFonts w:ascii="Calibri" w:hAnsi="Calibri" w:cstheme="minorHAnsi"/>
          <w:b/>
          <w:sz w:val="22"/>
          <w:szCs w:val="22"/>
        </w:rPr>
        <w:t>Complaints</w:t>
      </w:r>
    </w:p>
    <w:p w14:paraId="13AD4F6E" w14:textId="77777777" w:rsidR="006F398C" w:rsidRDefault="006F398C" w:rsidP="0037490C">
      <w:pPr>
        <w:pStyle w:val="ListParagraph"/>
        <w:autoSpaceDE w:val="0"/>
        <w:autoSpaceDN w:val="0"/>
        <w:adjustRightInd w:val="0"/>
        <w:spacing w:after="0" w:line="240" w:lineRule="auto"/>
        <w:ind w:left="360"/>
        <w:rPr>
          <w:rFonts w:cstheme="minorHAnsi"/>
          <w:color w:val="000000"/>
        </w:rPr>
      </w:pPr>
      <w:r w:rsidRPr="006F398C">
        <w:rPr>
          <w:rFonts w:cstheme="minorHAnsi"/>
          <w:color w:val="000000"/>
        </w:rPr>
        <w:t xml:space="preserve">The complaint process occurs early in the procurement process. The purpose of a complaint process is to settle unresolved vendor issues or concerns that either were not or could not be resolved during the question and answer period. The complaint process allows vendors to focus on the solicitation requirements and evaluation process and raise issues early enough in the process to allow an agency to correct a problem before bids are submitted and time </w:t>
      </w:r>
      <w:r w:rsidR="00F64F82">
        <w:rPr>
          <w:rFonts w:cstheme="minorHAnsi"/>
          <w:color w:val="000000"/>
        </w:rPr>
        <w:t xml:space="preserve">is </w:t>
      </w:r>
      <w:r w:rsidRPr="006F398C">
        <w:rPr>
          <w:rFonts w:cstheme="minorHAnsi"/>
          <w:color w:val="000000"/>
        </w:rPr>
        <w:t>expended on evaluations. A good complaint process can help reduce or eliminate the number of protests that would later be filed.</w:t>
      </w:r>
    </w:p>
    <w:p w14:paraId="7ACCDE8A" w14:textId="77777777" w:rsidR="006F398C" w:rsidRDefault="006F398C" w:rsidP="0037490C">
      <w:pPr>
        <w:pStyle w:val="ListParagraph"/>
        <w:autoSpaceDE w:val="0"/>
        <w:autoSpaceDN w:val="0"/>
        <w:adjustRightInd w:val="0"/>
        <w:spacing w:after="0" w:line="240" w:lineRule="auto"/>
        <w:ind w:left="360"/>
        <w:rPr>
          <w:rFonts w:cstheme="minorHAnsi"/>
          <w:color w:val="000000"/>
        </w:rPr>
      </w:pPr>
    </w:p>
    <w:p w14:paraId="20823B16" w14:textId="77777777" w:rsidR="000042FB" w:rsidRDefault="006F398C" w:rsidP="0037490C">
      <w:pPr>
        <w:autoSpaceDE w:val="0"/>
        <w:autoSpaceDN w:val="0"/>
        <w:adjustRightInd w:val="0"/>
        <w:spacing w:after="0" w:line="240" w:lineRule="auto"/>
        <w:ind w:left="360"/>
        <w:rPr>
          <w:rFonts w:cstheme="minorHAnsi"/>
          <w:color w:val="000000"/>
        </w:rPr>
      </w:pPr>
      <w:r w:rsidRPr="006F398C">
        <w:rPr>
          <w:rFonts w:cstheme="minorHAnsi"/>
          <w:color w:val="000000"/>
        </w:rPr>
        <w:t xml:space="preserve">The agency’s procurement complaint process must meet the </w:t>
      </w:r>
      <w:r w:rsidR="000042FB">
        <w:rPr>
          <w:rFonts w:cstheme="minorHAnsi"/>
          <w:color w:val="000000"/>
        </w:rPr>
        <w:t>following minimum requirements:</w:t>
      </w:r>
    </w:p>
    <w:p w14:paraId="3F2184A6" w14:textId="77777777" w:rsidR="000042FB" w:rsidRDefault="006F398C" w:rsidP="000042FB">
      <w:pPr>
        <w:pStyle w:val="ListParagraph"/>
        <w:numPr>
          <w:ilvl w:val="1"/>
          <w:numId w:val="5"/>
        </w:numPr>
        <w:autoSpaceDE w:val="0"/>
        <w:autoSpaceDN w:val="0"/>
        <w:adjustRightInd w:val="0"/>
        <w:spacing w:after="0" w:line="240" w:lineRule="auto"/>
        <w:rPr>
          <w:rFonts w:cstheme="minorHAnsi"/>
          <w:color w:val="000000"/>
        </w:rPr>
      </w:pPr>
      <w:r w:rsidRPr="000042FB">
        <w:rPr>
          <w:rFonts w:cstheme="minorHAnsi"/>
          <w:color w:val="000000"/>
        </w:rPr>
        <w:t>Vendors must be given an opportunity to submit a complaint to the agency</w:t>
      </w:r>
      <w:r w:rsidR="000042FB">
        <w:rPr>
          <w:rFonts w:cstheme="minorHAnsi"/>
          <w:color w:val="000000"/>
        </w:rPr>
        <w:t xml:space="preserve"> based on any of the following:</w:t>
      </w:r>
    </w:p>
    <w:p w14:paraId="03EA9CFD" w14:textId="77777777" w:rsidR="000042FB" w:rsidRDefault="006F398C" w:rsidP="000042FB">
      <w:pPr>
        <w:pStyle w:val="ListParagraph"/>
        <w:numPr>
          <w:ilvl w:val="2"/>
          <w:numId w:val="5"/>
        </w:numPr>
        <w:autoSpaceDE w:val="0"/>
        <w:autoSpaceDN w:val="0"/>
        <w:adjustRightInd w:val="0"/>
        <w:spacing w:after="0" w:line="240" w:lineRule="auto"/>
        <w:rPr>
          <w:rFonts w:cstheme="minorHAnsi"/>
          <w:color w:val="000000"/>
        </w:rPr>
      </w:pPr>
      <w:r w:rsidRPr="000042FB">
        <w:rPr>
          <w:rFonts w:cstheme="minorHAnsi"/>
          <w:color w:val="000000"/>
        </w:rPr>
        <w:t>The solicitation unnec</w:t>
      </w:r>
      <w:r w:rsidR="000042FB">
        <w:rPr>
          <w:rFonts w:cstheme="minorHAnsi"/>
          <w:color w:val="000000"/>
        </w:rPr>
        <w:t>essarily restricts competition;</w:t>
      </w:r>
    </w:p>
    <w:p w14:paraId="5A9550BA" w14:textId="77777777" w:rsidR="000042FB" w:rsidRDefault="006F398C" w:rsidP="000042FB">
      <w:pPr>
        <w:pStyle w:val="ListParagraph"/>
        <w:numPr>
          <w:ilvl w:val="2"/>
          <w:numId w:val="5"/>
        </w:numPr>
        <w:autoSpaceDE w:val="0"/>
        <w:autoSpaceDN w:val="0"/>
        <w:adjustRightInd w:val="0"/>
        <w:spacing w:after="0" w:line="240" w:lineRule="auto"/>
        <w:rPr>
          <w:rFonts w:cstheme="minorHAnsi"/>
          <w:color w:val="000000"/>
        </w:rPr>
      </w:pPr>
      <w:r w:rsidRPr="000042FB">
        <w:rPr>
          <w:rFonts w:cstheme="minorHAnsi"/>
          <w:color w:val="000000"/>
        </w:rPr>
        <w:t xml:space="preserve">The solicitation evaluation or scoring </w:t>
      </w:r>
      <w:r w:rsidR="000042FB">
        <w:rPr>
          <w:rFonts w:cstheme="minorHAnsi"/>
          <w:color w:val="000000"/>
        </w:rPr>
        <w:t>process is unfair or flawed; or</w:t>
      </w:r>
    </w:p>
    <w:p w14:paraId="2D46DFF7" w14:textId="77777777" w:rsidR="006F398C" w:rsidRDefault="006F398C" w:rsidP="000042FB">
      <w:pPr>
        <w:pStyle w:val="ListParagraph"/>
        <w:numPr>
          <w:ilvl w:val="2"/>
          <w:numId w:val="5"/>
        </w:numPr>
        <w:autoSpaceDE w:val="0"/>
        <w:autoSpaceDN w:val="0"/>
        <w:adjustRightInd w:val="0"/>
        <w:spacing w:after="0" w:line="240" w:lineRule="auto"/>
        <w:rPr>
          <w:rFonts w:cstheme="minorHAnsi"/>
          <w:color w:val="000000"/>
        </w:rPr>
      </w:pPr>
      <w:r w:rsidRPr="000042FB">
        <w:rPr>
          <w:rFonts w:cstheme="minorHAnsi"/>
          <w:color w:val="000000"/>
        </w:rPr>
        <w:t>The solicitation requirements are inadequate or insu</w:t>
      </w:r>
      <w:r w:rsidR="00CF4D47">
        <w:rPr>
          <w:rFonts w:cstheme="minorHAnsi"/>
          <w:color w:val="000000"/>
        </w:rPr>
        <w:t>fficient to prepare a response.</w:t>
      </w:r>
    </w:p>
    <w:p w14:paraId="130ACBE4" w14:textId="77777777" w:rsidR="00821BE0" w:rsidRDefault="00CF4D47" w:rsidP="00821BE0">
      <w:pPr>
        <w:pStyle w:val="ListParagraph"/>
        <w:numPr>
          <w:ilvl w:val="1"/>
          <w:numId w:val="5"/>
        </w:numPr>
        <w:autoSpaceDE w:val="0"/>
        <w:autoSpaceDN w:val="0"/>
        <w:adjustRightInd w:val="0"/>
        <w:spacing w:after="0" w:line="240" w:lineRule="auto"/>
        <w:rPr>
          <w:rFonts w:cstheme="minorHAnsi"/>
          <w:color w:val="000000"/>
        </w:rPr>
      </w:pPr>
      <w:commentRangeStart w:id="1"/>
      <w:r w:rsidRPr="000042FB">
        <w:rPr>
          <w:rFonts w:cstheme="minorHAnsi"/>
          <w:color w:val="000000"/>
        </w:rPr>
        <w:t>The complaint process, including the agency response to complaints, must occur before the deadline for bid submissions.</w:t>
      </w:r>
      <w:commentRangeEnd w:id="1"/>
      <w:r w:rsidR="00392334">
        <w:rPr>
          <w:rStyle w:val="CommentReference"/>
        </w:rPr>
        <w:commentReference w:id="1"/>
      </w:r>
    </w:p>
    <w:p w14:paraId="203CB668" w14:textId="77777777" w:rsidR="00821BE0" w:rsidRDefault="00CF4D47" w:rsidP="00821BE0">
      <w:pPr>
        <w:pStyle w:val="ListParagraph"/>
        <w:numPr>
          <w:ilvl w:val="1"/>
          <w:numId w:val="5"/>
        </w:numPr>
        <w:autoSpaceDE w:val="0"/>
        <w:autoSpaceDN w:val="0"/>
        <w:adjustRightInd w:val="0"/>
        <w:spacing w:after="0" w:line="240" w:lineRule="auto"/>
        <w:rPr>
          <w:rFonts w:cstheme="minorHAnsi"/>
          <w:color w:val="000000"/>
        </w:rPr>
      </w:pPr>
      <w:r w:rsidRPr="00821BE0">
        <w:rPr>
          <w:rFonts w:cstheme="minorHAnsi"/>
          <w:color w:val="000000"/>
        </w:rPr>
        <w:t>Vendors must be allowed to submit complaints up to 5 business days prior to the bid response deadline. In addition, agencies can require vendor complaints to meet the following requirements:</w:t>
      </w:r>
    </w:p>
    <w:p w14:paraId="542E7FAF" w14:textId="77777777" w:rsidR="00821BE0" w:rsidRDefault="00CF4D47" w:rsidP="00821BE0">
      <w:pPr>
        <w:pStyle w:val="ListParagraph"/>
        <w:numPr>
          <w:ilvl w:val="2"/>
          <w:numId w:val="5"/>
        </w:numPr>
        <w:autoSpaceDE w:val="0"/>
        <w:autoSpaceDN w:val="0"/>
        <w:adjustRightInd w:val="0"/>
        <w:spacing w:after="0" w:line="240" w:lineRule="auto"/>
        <w:rPr>
          <w:rFonts w:cstheme="minorHAnsi"/>
          <w:color w:val="000000"/>
        </w:rPr>
      </w:pPr>
      <w:r w:rsidRPr="00821BE0">
        <w:rPr>
          <w:rFonts w:cstheme="minorHAnsi"/>
          <w:color w:val="000000"/>
        </w:rPr>
        <w:t>Must be in writing.</w:t>
      </w:r>
    </w:p>
    <w:p w14:paraId="16E5367E" w14:textId="77777777" w:rsidR="00821BE0" w:rsidRDefault="00CF4D47" w:rsidP="00821BE0">
      <w:pPr>
        <w:pStyle w:val="ListParagraph"/>
        <w:numPr>
          <w:ilvl w:val="2"/>
          <w:numId w:val="5"/>
        </w:numPr>
        <w:autoSpaceDE w:val="0"/>
        <w:autoSpaceDN w:val="0"/>
        <w:adjustRightInd w:val="0"/>
        <w:spacing w:after="0" w:line="240" w:lineRule="auto"/>
        <w:rPr>
          <w:rFonts w:cstheme="minorHAnsi"/>
          <w:color w:val="000000"/>
        </w:rPr>
      </w:pPr>
      <w:r w:rsidRPr="00821BE0">
        <w:rPr>
          <w:rFonts w:cstheme="minorHAnsi"/>
          <w:color w:val="000000"/>
        </w:rPr>
        <w:t>Must be sent to the procurement coordinator, o</w:t>
      </w:r>
      <w:r w:rsidR="00821BE0" w:rsidRPr="00821BE0">
        <w:rPr>
          <w:rFonts w:cstheme="minorHAnsi"/>
          <w:color w:val="000000"/>
        </w:rPr>
        <w:t>r designee, in a timely manner.</w:t>
      </w:r>
    </w:p>
    <w:p w14:paraId="7268320C" w14:textId="77777777" w:rsidR="00821BE0" w:rsidRDefault="00CF4D47" w:rsidP="00821BE0">
      <w:pPr>
        <w:pStyle w:val="ListParagraph"/>
        <w:numPr>
          <w:ilvl w:val="2"/>
          <w:numId w:val="5"/>
        </w:numPr>
        <w:autoSpaceDE w:val="0"/>
        <w:autoSpaceDN w:val="0"/>
        <w:adjustRightInd w:val="0"/>
        <w:spacing w:after="0" w:line="240" w:lineRule="auto"/>
        <w:rPr>
          <w:rFonts w:cstheme="minorHAnsi"/>
          <w:color w:val="000000"/>
        </w:rPr>
      </w:pPr>
      <w:r w:rsidRPr="00821BE0">
        <w:rPr>
          <w:rFonts w:cstheme="minorHAnsi"/>
          <w:color w:val="000000"/>
        </w:rPr>
        <w:t>Should clearly articula</w:t>
      </w:r>
      <w:r w:rsidR="00821BE0" w:rsidRPr="00821BE0">
        <w:rPr>
          <w:rFonts w:cstheme="minorHAnsi"/>
          <w:color w:val="000000"/>
        </w:rPr>
        <w:t>te the basis for the complaint.</w:t>
      </w:r>
    </w:p>
    <w:p w14:paraId="2254F1FE" w14:textId="77777777" w:rsidR="00225B77" w:rsidRDefault="00CF4D47" w:rsidP="00225B77">
      <w:pPr>
        <w:pStyle w:val="ListParagraph"/>
        <w:numPr>
          <w:ilvl w:val="2"/>
          <w:numId w:val="5"/>
        </w:numPr>
        <w:autoSpaceDE w:val="0"/>
        <w:autoSpaceDN w:val="0"/>
        <w:adjustRightInd w:val="0"/>
        <w:spacing w:after="0" w:line="240" w:lineRule="auto"/>
        <w:rPr>
          <w:rFonts w:cstheme="minorHAnsi"/>
          <w:color w:val="000000"/>
        </w:rPr>
      </w:pPr>
      <w:r w:rsidRPr="00821BE0">
        <w:rPr>
          <w:rFonts w:cstheme="minorHAnsi"/>
          <w:color w:val="000000"/>
        </w:rPr>
        <w:t xml:space="preserve">Should include a proposed remedy. </w:t>
      </w:r>
    </w:p>
    <w:p w14:paraId="2FD46C06" w14:textId="77777777" w:rsidR="00225B77" w:rsidRDefault="00CF4D47" w:rsidP="00225B77">
      <w:pPr>
        <w:pStyle w:val="ListParagraph"/>
        <w:numPr>
          <w:ilvl w:val="1"/>
          <w:numId w:val="5"/>
        </w:numPr>
        <w:autoSpaceDE w:val="0"/>
        <w:autoSpaceDN w:val="0"/>
        <w:adjustRightInd w:val="0"/>
        <w:spacing w:after="0" w:line="240" w:lineRule="auto"/>
        <w:rPr>
          <w:rFonts w:cstheme="minorHAnsi"/>
          <w:color w:val="000000"/>
        </w:rPr>
      </w:pPr>
      <w:r w:rsidRPr="00225B77">
        <w:rPr>
          <w:rFonts w:cstheme="minorHAnsi"/>
          <w:color w:val="000000"/>
        </w:rPr>
        <w:lastRenderedPageBreak/>
        <w:t xml:space="preserve">The procurement coordinator or designee must respond to complaints in writing. </w:t>
      </w:r>
    </w:p>
    <w:p w14:paraId="0340F85A" w14:textId="77777777" w:rsidR="00225B77" w:rsidRDefault="00CF4D47" w:rsidP="00225B77">
      <w:pPr>
        <w:pStyle w:val="ListParagraph"/>
        <w:numPr>
          <w:ilvl w:val="1"/>
          <w:numId w:val="5"/>
        </w:numPr>
        <w:autoSpaceDE w:val="0"/>
        <w:autoSpaceDN w:val="0"/>
        <w:adjustRightInd w:val="0"/>
        <w:spacing w:after="0" w:line="240" w:lineRule="auto"/>
        <w:rPr>
          <w:rFonts w:cstheme="minorHAnsi"/>
          <w:color w:val="000000"/>
        </w:rPr>
      </w:pPr>
      <w:r w:rsidRPr="00225B77">
        <w:rPr>
          <w:rFonts w:cstheme="minorHAnsi"/>
          <w:color w:val="000000"/>
        </w:rPr>
        <w:t xml:space="preserve">The response to complaints including any changes to the solicitation must be posted on WEBS. </w:t>
      </w:r>
    </w:p>
    <w:p w14:paraId="6E8443D3" w14:textId="77777777" w:rsidR="00225B77" w:rsidRDefault="00CF4D47" w:rsidP="00225B77">
      <w:pPr>
        <w:pStyle w:val="ListParagraph"/>
        <w:numPr>
          <w:ilvl w:val="1"/>
          <w:numId w:val="5"/>
        </w:numPr>
        <w:autoSpaceDE w:val="0"/>
        <w:autoSpaceDN w:val="0"/>
        <w:adjustRightInd w:val="0"/>
        <w:spacing w:after="0" w:line="240" w:lineRule="auto"/>
        <w:rPr>
          <w:rFonts w:cstheme="minorHAnsi"/>
          <w:color w:val="000000"/>
        </w:rPr>
      </w:pPr>
      <w:r w:rsidRPr="00225B77">
        <w:rPr>
          <w:rFonts w:cstheme="minorHAnsi"/>
          <w:color w:val="000000"/>
        </w:rPr>
        <w:t>The agency head is to be notified of all complaints and be provided a</w:t>
      </w:r>
      <w:r w:rsidR="00225B77">
        <w:rPr>
          <w:rFonts w:cstheme="minorHAnsi"/>
          <w:color w:val="000000"/>
        </w:rPr>
        <w:t xml:space="preserve"> copy of the agency's response.</w:t>
      </w:r>
    </w:p>
    <w:p w14:paraId="632AD928" w14:textId="77777777" w:rsidR="00CF4D47" w:rsidRPr="00225B77" w:rsidRDefault="00CF4D47" w:rsidP="00225B77">
      <w:pPr>
        <w:pStyle w:val="ListParagraph"/>
        <w:numPr>
          <w:ilvl w:val="1"/>
          <w:numId w:val="5"/>
        </w:numPr>
        <w:autoSpaceDE w:val="0"/>
        <w:autoSpaceDN w:val="0"/>
        <w:adjustRightInd w:val="0"/>
        <w:spacing w:after="0" w:line="240" w:lineRule="auto"/>
        <w:rPr>
          <w:rFonts w:cstheme="minorHAnsi"/>
          <w:color w:val="000000"/>
        </w:rPr>
      </w:pPr>
      <w:r w:rsidRPr="00225B77">
        <w:rPr>
          <w:rFonts w:cstheme="minorHAnsi"/>
          <w:color w:val="000000"/>
        </w:rPr>
        <w:t xml:space="preserve">The complaint may not be raised again during the protest period. </w:t>
      </w:r>
    </w:p>
    <w:p w14:paraId="7DD9CCD6" w14:textId="77777777" w:rsidR="00CF4D47" w:rsidRPr="000042FB" w:rsidRDefault="00CF4D47" w:rsidP="00CF4D47">
      <w:pPr>
        <w:pStyle w:val="ListParagraph"/>
        <w:numPr>
          <w:ilvl w:val="1"/>
          <w:numId w:val="5"/>
        </w:numPr>
        <w:autoSpaceDE w:val="0"/>
        <w:autoSpaceDN w:val="0"/>
        <w:adjustRightInd w:val="0"/>
        <w:spacing w:after="0" w:line="240" w:lineRule="auto"/>
        <w:rPr>
          <w:rFonts w:cstheme="minorHAnsi"/>
          <w:color w:val="000000"/>
        </w:rPr>
      </w:pPr>
      <w:r w:rsidRPr="00B44B6E">
        <w:rPr>
          <w:rFonts w:cstheme="minorHAnsi"/>
          <w:color w:val="000000"/>
        </w:rPr>
        <w:t>The agency complaint process does not need to include an appeal process.</w:t>
      </w:r>
    </w:p>
    <w:p w14:paraId="279430DE" w14:textId="77777777" w:rsidR="006F398C" w:rsidRDefault="002F2A07" w:rsidP="00ED2C02">
      <w:pPr>
        <w:pStyle w:val="Heading1"/>
        <w:numPr>
          <w:ilvl w:val="0"/>
          <w:numId w:val="5"/>
        </w:numPr>
        <w:spacing w:line="240" w:lineRule="auto"/>
        <w:rPr>
          <w:rFonts w:ascii="Calibri" w:hAnsi="Calibri" w:cstheme="minorHAnsi"/>
          <w:b/>
          <w:sz w:val="22"/>
          <w:szCs w:val="22"/>
        </w:rPr>
      </w:pPr>
      <w:r>
        <w:rPr>
          <w:rFonts w:ascii="Calibri" w:hAnsi="Calibri" w:cstheme="minorHAnsi"/>
          <w:b/>
          <w:sz w:val="22"/>
          <w:szCs w:val="22"/>
        </w:rPr>
        <w:t>Protests</w:t>
      </w:r>
    </w:p>
    <w:p w14:paraId="7B2389B0" w14:textId="77777777" w:rsidR="000E6089" w:rsidRPr="000E6089" w:rsidRDefault="000E6089" w:rsidP="00420396">
      <w:pPr>
        <w:pStyle w:val="ListParagraph"/>
        <w:autoSpaceDE w:val="0"/>
        <w:autoSpaceDN w:val="0"/>
        <w:adjustRightInd w:val="0"/>
        <w:spacing w:after="0" w:line="240" w:lineRule="auto"/>
        <w:ind w:left="360"/>
        <w:rPr>
          <w:rFonts w:cstheme="minorHAnsi"/>
          <w:color w:val="000000"/>
        </w:rPr>
      </w:pPr>
      <w:r w:rsidRPr="000E6089">
        <w:rPr>
          <w:rFonts w:cstheme="minorHAnsi"/>
          <w:color w:val="000000"/>
        </w:rPr>
        <w:t>The protest process occurs after the bids are submitted and evaluated. This allows bidders to focus on the evaluation process to ensure its integrity and fairness. Protests can raise issues related to the evaluation process as set out in the solicitation o</w:t>
      </w:r>
      <w:r w:rsidR="00D17F78">
        <w:rPr>
          <w:rFonts w:cstheme="minorHAnsi"/>
          <w:color w:val="000000"/>
        </w:rPr>
        <w:t>r how</w:t>
      </w:r>
      <w:r w:rsidRPr="000E6089">
        <w:rPr>
          <w:rFonts w:cstheme="minorHAnsi"/>
          <w:color w:val="000000"/>
        </w:rPr>
        <w:t xml:space="preserve"> the process was executed. This allows an agency to correct evaluation process errors and problems before a contract is executed. </w:t>
      </w:r>
    </w:p>
    <w:p w14:paraId="1D662B5C" w14:textId="77777777" w:rsidR="00104602" w:rsidRDefault="00104602" w:rsidP="00420396">
      <w:pPr>
        <w:pStyle w:val="ListParagraph"/>
        <w:autoSpaceDE w:val="0"/>
        <w:autoSpaceDN w:val="0"/>
        <w:adjustRightInd w:val="0"/>
        <w:spacing w:after="0" w:line="240" w:lineRule="auto"/>
        <w:ind w:left="360"/>
        <w:rPr>
          <w:rFonts w:cstheme="minorHAnsi"/>
          <w:color w:val="000000"/>
        </w:rPr>
      </w:pPr>
    </w:p>
    <w:p w14:paraId="739A3D2A" w14:textId="77777777" w:rsidR="000E6089" w:rsidRDefault="000E6089" w:rsidP="00420396">
      <w:pPr>
        <w:pStyle w:val="ListParagraph"/>
        <w:autoSpaceDE w:val="0"/>
        <w:autoSpaceDN w:val="0"/>
        <w:adjustRightInd w:val="0"/>
        <w:spacing w:after="0" w:line="240" w:lineRule="auto"/>
        <w:ind w:left="360"/>
        <w:rPr>
          <w:rFonts w:ascii="Times New Roman" w:hAnsi="Times New Roman" w:cs="Times New Roman"/>
          <w:color w:val="000000"/>
          <w:sz w:val="23"/>
          <w:szCs w:val="23"/>
        </w:rPr>
      </w:pPr>
      <w:r w:rsidRPr="000E6089">
        <w:rPr>
          <w:rFonts w:cstheme="minorHAnsi"/>
          <w:color w:val="000000"/>
        </w:rPr>
        <w:t>The agency’s procurement protest process must meet the following minimum requirements:</w:t>
      </w:r>
    </w:p>
    <w:p w14:paraId="7F295ECD" w14:textId="77777777" w:rsidR="00420396" w:rsidRPr="0014117B" w:rsidRDefault="000042FB" w:rsidP="00420396">
      <w:pPr>
        <w:pStyle w:val="ListParagraph"/>
        <w:numPr>
          <w:ilvl w:val="1"/>
          <w:numId w:val="5"/>
        </w:numPr>
        <w:autoSpaceDE w:val="0"/>
        <w:autoSpaceDN w:val="0"/>
        <w:adjustRightInd w:val="0"/>
        <w:spacing w:after="0" w:line="240" w:lineRule="auto"/>
        <w:rPr>
          <w:rFonts w:cstheme="minorHAnsi"/>
          <w:color w:val="000000"/>
        </w:rPr>
      </w:pPr>
      <w:commentRangeStart w:id="2"/>
      <w:r w:rsidRPr="0014117B">
        <w:rPr>
          <w:rFonts w:cstheme="minorHAnsi"/>
          <w:color w:val="000000"/>
        </w:rPr>
        <w:t>The protest process must include a protest period after the apparent successful bidder</w:t>
      </w:r>
      <w:r w:rsidR="00D17F78" w:rsidRPr="0014117B">
        <w:rPr>
          <w:rFonts w:cstheme="minorHAnsi"/>
          <w:color w:val="000000"/>
        </w:rPr>
        <w:t xml:space="preserve"> (ASB)</w:t>
      </w:r>
      <w:r w:rsidRPr="0014117B">
        <w:rPr>
          <w:rFonts w:cstheme="minorHAnsi"/>
          <w:color w:val="000000"/>
        </w:rPr>
        <w:t xml:space="preserve"> is announced but before the contract is signed.</w:t>
      </w:r>
      <w:commentRangeEnd w:id="2"/>
      <w:r w:rsidR="00392334">
        <w:rPr>
          <w:rStyle w:val="CommentReference"/>
        </w:rPr>
        <w:commentReference w:id="2"/>
      </w:r>
    </w:p>
    <w:p w14:paraId="7126EA10" w14:textId="46B66B38" w:rsidR="00420396" w:rsidRDefault="00104602" w:rsidP="00420396">
      <w:pPr>
        <w:pStyle w:val="ListParagraph"/>
        <w:numPr>
          <w:ilvl w:val="1"/>
          <w:numId w:val="5"/>
        </w:numPr>
        <w:autoSpaceDE w:val="0"/>
        <w:autoSpaceDN w:val="0"/>
        <w:adjustRightInd w:val="0"/>
        <w:spacing w:after="0" w:line="240" w:lineRule="auto"/>
        <w:rPr>
          <w:rFonts w:cstheme="minorHAnsi"/>
          <w:color w:val="000000"/>
        </w:rPr>
      </w:pPr>
      <w:r w:rsidRPr="00420396">
        <w:rPr>
          <w:rFonts w:cstheme="minorHAnsi"/>
          <w:color w:val="000000"/>
        </w:rPr>
        <w:t>After the announcement of the</w:t>
      </w:r>
      <w:r w:rsidR="00392334">
        <w:rPr>
          <w:rFonts w:cstheme="minorHAnsi"/>
          <w:color w:val="000000"/>
        </w:rPr>
        <w:t xml:space="preserve"> Apparent Successful Bidder(s)</w:t>
      </w:r>
      <w:r w:rsidR="00D17F78">
        <w:rPr>
          <w:rFonts w:cstheme="minorHAnsi"/>
          <w:color w:val="000000"/>
        </w:rPr>
        <w:t xml:space="preserve"> </w:t>
      </w:r>
      <w:r w:rsidR="00392334">
        <w:rPr>
          <w:rFonts w:cstheme="minorHAnsi"/>
          <w:color w:val="000000"/>
        </w:rPr>
        <w:t>(</w:t>
      </w:r>
      <w:r w:rsidR="00D17F78">
        <w:rPr>
          <w:rFonts w:cstheme="minorHAnsi"/>
          <w:color w:val="000000"/>
        </w:rPr>
        <w:t>ASB</w:t>
      </w:r>
      <w:r w:rsidR="0012290E">
        <w:rPr>
          <w:rFonts w:cstheme="minorHAnsi"/>
          <w:color w:val="000000"/>
        </w:rPr>
        <w:t>(s)</w:t>
      </w:r>
      <w:r w:rsidR="00392334">
        <w:rPr>
          <w:rFonts w:cstheme="minorHAnsi"/>
          <w:color w:val="000000"/>
        </w:rPr>
        <w:t>)</w:t>
      </w:r>
      <w:r w:rsidRPr="00420396">
        <w:rPr>
          <w:rFonts w:cstheme="minorHAnsi"/>
          <w:color w:val="000000"/>
        </w:rPr>
        <w:t xml:space="preserve">, agencies must offer a debriefing conference to any bidder upon request. </w:t>
      </w:r>
    </w:p>
    <w:p w14:paraId="7CEE50EF" w14:textId="77777777" w:rsidR="00420396" w:rsidRDefault="00104602" w:rsidP="00420396">
      <w:pPr>
        <w:pStyle w:val="ListParagraph"/>
        <w:numPr>
          <w:ilvl w:val="1"/>
          <w:numId w:val="5"/>
        </w:numPr>
        <w:autoSpaceDE w:val="0"/>
        <w:autoSpaceDN w:val="0"/>
        <w:adjustRightInd w:val="0"/>
        <w:spacing w:after="0" w:line="240" w:lineRule="auto"/>
        <w:rPr>
          <w:rFonts w:cstheme="minorHAnsi"/>
          <w:color w:val="000000"/>
        </w:rPr>
      </w:pPr>
      <w:r w:rsidRPr="00420396">
        <w:rPr>
          <w:rFonts w:cstheme="minorHAnsi"/>
          <w:color w:val="000000"/>
        </w:rPr>
        <w:t>Agencies must give bidders a minimum of at least 3 business days after the ASB</w:t>
      </w:r>
      <w:r w:rsidR="0012290E">
        <w:rPr>
          <w:rFonts w:cstheme="minorHAnsi"/>
          <w:color w:val="000000"/>
        </w:rPr>
        <w:t>(s)</w:t>
      </w:r>
      <w:r w:rsidRPr="00420396">
        <w:rPr>
          <w:rFonts w:cstheme="minorHAnsi"/>
          <w:color w:val="000000"/>
        </w:rPr>
        <w:t xml:space="preserve"> is announced to request a debriefing conference. </w:t>
      </w:r>
    </w:p>
    <w:p w14:paraId="5DA3DB08" w14:textId="77777777" w:rsidR="00420396" w:rsidRDefault="00104602" w:rsidP="00420396">
      <w:pPr>
        <w:pStyle w:val="ListParagraph"/>
        <w:numPr>
          <w:ilvl w:val="1"/>
          <w:numId w:val="5"/>
        </w:numPr>
        <w:autoSpaceDE w:val="0"/>
        <w:autoSpaceDN w:val="0"/>
        <w:adjustRightInd w:val="0"/>
        <w:spacing w:after="0" w:line="240" w:lineRule="auto"/>
        <w:rPr>
          <w:rFonts w:cstheme="minorHAnsi"/>
          <w:color w:val="000000"/>
        </w:rPr>
      </w:pPr>
      <w:r w:rsidRPr="00420396">
        <w:rPr>
          <w:rFonts w:cstheme="minorHAnsi"/>
          <w:color w:val="000000"/>
        </w:rPr>
        <w:t xml:space="preserve">Agencies can require bidder participation in a debriefing conference as a prerequisite for submitting a protest. </w:t>
      </w:r>
    </w:p>
    <w:p w14:paraId="7216A5A2" w14:textId="77777777" w:rsidR="00420396" w:rsidRDefault="00104602" w:rsidP="00420396">
      <w:pPr>
        <w:pStyle w:val="ListParagraph"/>
        <w:numPr>
          <w:ilvl w:val="1"/>
          <w:numId w:val="5"/>
        </w:numPr>
        <w:autoSpaceDE w:val="0"/>
        <w:autoSpaceDN w:val="0"/>
        <w:adjustRightInd w:val="0"/>
        <w:spacing w:after="0" w:line="240" w:lineRule="auto"/>
        <w:rPr>
          <w:rFonts w:cstheme="minorHAnsi"/>
          <w:color w:val="000000"/>
        </w:rPr>
      </w:pPr>
      <w:r w:rsidRPr="00420396">
        <w:rPr>
          <w:rFonts w:cstheme="minorHAnsi"/>
          <w:color w:val="000000"/>
        </w:rPr>
        <w:t xml:space="preserve">Agencies must give bidders at least 5 business days after their </w:t>
      </w:r>
      <w:r w:rsidR="00597C8B" w:rsidRPr="00420396">
        <w:rPr>
          <w:rFonts w:cstheme="minorHAnsi"/>
          <w:color w:val="000000"/>
        </w:rPr>
        <w:t>debriefin</w:t>
      </w:r>
      <w:r w:rsidR="00420396">
        <w:rPr>
          <w:rFonts w:cstheme="minorHAnsi"/>
          <w:color w:val="000000"/>
        </w:rPr>
        <w:t>g conference to file a protest.</w:t>
      </w:r>
    </w:p>
    <w:p w14:paraId="69DD2EFC" w14:textId="77777777" w:rsidR="0012290E" w:rsidRPr="0014117B" w:rsidRDefault="0012290E" w:rsidP="0012290E">
      <w:pPr>
        <w:pStyle w:val="ListParagraph"/>
        <w:numPr>
          <w:ilvl w:val="2"/>
          <w:numId w:val="5"/>
        </w:numPr>
        <w:autoSpaceDE w:val="0"/>
        <w:autoSpaceDN w:val="0"/>
        <w:adjustRightInd w:val="0"/>
        <w:spacing w:after="0" w:line="240" w:lineRule="auto"/>
        <w:rPr>
          <w:rFonts w:cstheme="minorHAnsi"/>
          <w:color w:val="000000"/>
        </w:rPr>
      </w:pPr>
      <w:commentRangeStart w:id="3"/>
      <w:r w:rsidRPr="0014117B">
        <w:rPr>
          <w:rFonts w:cstheme="minorHAnsi"/>
          <w:color w:val="000000"/>
        </w:rPr>
        <w:t>Only those bidders who’ve submitted a bid are eligible to file a protest.</w:t>
      </w:r>
    </w:p>
    <w:p w14:paraId="6560728E" w14:textId="77777777" w:rsidR="00AA1A5D" w:rsidRPr="0014117B" w:rsidRDefault="00AA1A5D" w:rsidP="0012290E">
      <w:pPr>
        <w:pStyle w:val="ListParagraph"/>
        <w:numPr>
          <w:ilvl w:val="2"/>
          <w:numId w:val="5"/>
        </w:numPr>
        <w:autoSpaceDE w:val="0"/>
        <w:autoSpaceDN w:val="0"/>
        <w:adjustRightInd w:val="0"/>
        <w:spacing w:after="0" w:line="240" w:lineRule="auto"/>
        <w:rPr>
          <w:rFonts w:cstheme="minorHAnsi"/>
          <w:color w:val="000000"/>
        </w:rPr>
      </w:pPr>
      <w:r w:rsidRPr="0014117B">
        <w:rPr>
          <w:rFonts w:cstheme="minorHAnsi"/>
          <w:color w:val="000000"/>
        </w:rPr>
        <w:t>It is recommended that protests are submitted to the Protest Officer or other neutral party, not the Agency Procurement coordinator.</w:t>
      </w:r>
      <w:commentRangeEnd w:id="3"/>
      <w:r w:rsidR="00392334">
        <w:rPr>
          <w:rStyle w:val="CommentReference"/>
        </w:rPr>
        <w:commentReference w:id="3"/>
      </w:r>
    </w:p>
    <w:p w14:paraId="401798D6" w14:textId="77777777" w:rsidR="00597C8B" w:rsidRPr="00420396" w:rsidRDefault="00597C8B" w:rsidP="00420396">
      <w:pPr>
        <w:pStyle w:val="ListParagraph"/>
        <w:numPr>
          <w:ilvl w:val="1"/>
          <w:numId w:val="5"/>
        </w:numPr>
        <w:autoSpaceDE w:val="0"/>
        <w:autoSpaceDN w:val="0"/>
        <w:adjustRightInd w:val="0"/>
        <w:spacing w:after="0" w:line="240" w:lineRule="auto"/>
        <w:rPr>
          <w:rFonts w:cstheme="minorHAnsi"/>
          <w:color w:val="000000"/>
        </w:rPr>
      </w:pPr>
      <w:r w:rsidRPr="00420396">
        <w:rPr>
          <w:rFonts w:cstheme="minorHAnsi"/>
          <w:color w:val="000000"/>
        </w:rPr>
        <w:t xml:space="preserve">The protest process as a minimum, must allow vendors an opportunity to submit a protest based on any of the following: </w:t>
      </w:r>
    </w:p>
    <w:p w14:paraId="644F2F1E" w14:textId="77777777" w:rsidR="00104602" w:rsidRDefault="00597C8B" w:rsidP="00D96EA3">
      <w:pPr>
        <w:pStyle w:val="ListParagraph"/>
        <w:numPr>
          <w:ilvl w:val="2"/>
          <w:numId w:val="5"/>
        </w:numPr>
        <w:autoSpaceDE w:val="0"/>
        <w:autoSpaceDN w:val="0"/>
        <w:adjustRightInd w:val="0"/>
        <w:spacing w:after="0" w:line="240" w:lineRule="auto"/>
        <w:rPr>
          <w:rFonts w:cstheme="minorHAnsi"/>
          <w:color w:val="000000"/>
        </w:rPr>
      </w:pPr>
      <w:r w:rsidRPr="00597C8B">
        <w:rPr>
          <w:rFonts w:cstheme="minorHAnsi"/>
          <w:color w:val="000000"/>
        </w:rPr>
        <w:t>A matter of bias, discrimination, or conflict of interest on the part of an evaluator;</w:t>
      </w:r>
    </w:p>
    <w:p w14:paraId="4CCF88E2" w14:textId="77777777" w:rsidR="00597C8B" w:rsidRPr="00597C8B" w:rsidRDefault="00597C8B" w:rsidP="00D96EA3">
      <w:pPr>
        <w:pStyle w:val="ListParagraph"/>
        <w:numPr>
          <w:ilvl w:val="2"/>
          <w:numId w:val="5"/>
        </w:numPr>
        <w:autoSpaceDE w:val="0"/>
        <w:autoSpaceDN w:val="0"/>
        <w:adjustRightInd w:val="0"/>
        <w:spacing w:after="0" w:line="240" w:lineRule="auto"/>
        <w:rPr>
          <w:rFonts w:cstheme="minorHAnsi"/>
          <w:color w:val="000000"/>
        </w:rPr>
      </w:pPr>
      <w:r w:rsidRPr="00597C8B">
        <w:rPr>
          <w:rFonts w:cstheme="minorHAnsi"/>
          <w:color w:val="000000"/>
        </w:rPr>
        <w:t xml:space="preserve">Errors in computing the scores; or </w:t>
      </w:r>
    </w:p>
    <w:p w14:paraId="50C33106" w14:textId="77777777" w:rsidR="00D96EA3" w:rsidRDefault="00597C8B" w:rsidP="00D96EA3">
      <w:pPr>
        <w:pStyle w:val="ListParagraph"/>
        <w:numPr>
          <w:ilvl w:val="2"/>
          <w:numId w:val="5"/>
        </w:numPr>
        <w:autoSpaceDE w:val="0"/>
        <w:autoSpaceDN w:val="0"/>
        <w:adjustRightInd w:val="0"/>
        <w:spacing w:after="0" w:line="240" w:lineRule="auto"/>
        <w:rPr>
          <w:rFonts w:cstheme="minorHAnsi"/>
          <w:color w:val="000000"/>
        </w:rPr>
      </w:pPr>
      <w:r w:rsidRPr="00597C8B">
        <w:rPr>
          <w:rFonts w:cstheme="minorHAnsi"/>
          <w:color w:val="000000"/>
        </w:rPr>
        <w:t xml:space="preserve">Non-compliance with procedures described in the procurement document or agency protest process or DES requirements. </w:t>
      </w:r>
    </w:p>
    <w:p w14:paraId="6B3C94BC" w14:textId="77777777" w:rsidR="00D96EA3" w:rsidRDefault="0028130C" w:rsidP="00D96EA3">
      <w:pPr>
        <w:pStyle w:val="ListParagraph"/>
        <w:numPr>
          <w:ilvl w:val="1"/>
          <w:numId w:val="5"/>
        </w:numPr>
        <w:autoSpaceDE w:val="0"/>
        <w:autoSpaceDN w:val="0"/>
        <w:adjustRightInd w:val="0"/>
        <w:spacing w:after="0" w:line="240" w:lineRule="auto"/>
        <w:rPr>
          <w:rFonts w:cstheme="minorHAnsi"/>
          <w:color w:val="000000"/>
        </w:rPr>
      </w:pPr>
      <w:r w:rsidRPr="00D96EA3">
        <w:rPr>
          <w:rFonts w:cstheme="minorHAnsi"/>
          <w:color w:val="000000"/>
        </w:rPr>
        <w:t xml:space="preserve">Agencies should assign a neutral party </w:t>
      </w:r>
      <w:commentRangeStart w:id="4"/>
      <w:r w:rsidR="00A1153A">
        <w:rPr>
          <w:rFonts w:cstheme="minorHAnsi"/>
          <w:color w:val="000000"/>
        </w:rPr>
        <w:t>(</w:t>
      </w:r>
      <w:r w:rsidR="00A1153A" w:rsidRPr="0014117B">
        <w:rPr>
          <w:rFonts w:cstheme="minorHAnsi"/>
          <w:color w:val="000000"/>
        </w:rPr>
        <w:t>Protest Officer)</w:t>
      </w:r>
      <w:r w:rsidR="00A1153A">
        <w:rPr>
          <w:rFonts w:cstheme="minorHAnsi"/>
          <w:color w:val="000000"/>
        </w:rPr>
        <w:t xml:space="preserve"> </w:t>
      </w:r>
      <w:commentRangeEnd w:id="4"/>
      <w:r w:rsidR="00392334">
        <w:rPr>
          <w:rStyle w:val="CommentReference"/>
        </w:rPr>
        <w:commentReference w:id="4"/>
      </w:r>
      <w:r w:rsidRPr="00D96EA3">
        <w:rPr>
          <w:rFonts w:cstheme="minorHAnsi"/>
          <w:color w:val="000000"/>
        </w:rPr>
        <w:t xml:space="preserve">that had no involvement in the evaluation and award process to investigate and respond to the protest. </w:t>
      </w:r>
    </w:p>
    <w:p w14:paraId="0E22DD2C" w14:textId="09E08A62" w:rsidR="002B5FC2" w:rsidRDefault="00626A1E" w:rsidP="002B5FC2">
      <w:pPr>
        <w:pStyle w:val="ListParagraph"/>
        <w:numPr>
          <w:ilvl w:val="2"/>
          <w:numId w:val="5"/>
        </w:numPr>
        <w:autoSpaceDE w:val="0"/>
        <w:autoSpaceDN w:val="0"/>
        <w:adjustRightInd w:val="0"/>
        <w:spacing w:after="0" w:line="240" w:lineRule="auto"/>
        <w:rPr>
          <w:rFonts w:cstheme="minorHAnsi"/>
          <w:color w:val="000000"/>
        </w:rPr>
      </w:pPr>
      <w:commentRangeStart w:id="5"/>
      <w:r>
        <w:rPr>
          <w:rFonts w:cstheme="minorHAnsi"/>
          <w:color w:val="000000"/>
        </w:rPr>
        <w:t>The Protest Officer should have public procurement experience and</w:t>
      </w:r>
      <w:r w:rsidR="002A5498">
        <w:rPr>
          <w:rFonts w:cstheme="minorHAnsi"/>
          <w:color w:val="000000"/>
        </w:rPr>
        <w:t xml:space="preserve"> must remain fair and impartial throughout the protest process.</w:t>
      </w:r>
      <w:commentRangeEnd w:id="5"/>
      <w:r w:rsidR="000D006F">
        <w:rPr>
          <w:rStyle w:val="CommentReference"/>
        </w:rPr>
        <w:commentReference w:id="5"/>
      </w:r>
    </w:p>
    <w:p w14:paraId="6A8B919C" w14:textId="77777777" w:rsidR="00D96EA3" w:rsidRDefault="00F64F82" w:rsidP="00D96EA3">
      <w:pPr>
        <w:pStyle w:val="ListParagraph"/>
        <w:numPr>
          <w:ilvl w:val="1"/>
          <w:numId w:val="5"/>
        </w:numPr>
        <w:autoSpaceDE w:val="0"/>
        <w:autoSpaceDN w:val="0"/>
        <w:adjustRightInd w:val="0"/>
        <w:spacing w:after="0" w:line="240" w:lineRule="auto"/>
        <w:rPr>
          <w:rFonts w:cstheme="minorHAnsi"/>
          <w:color w:val="000000"/>
        </w:rPr>
      </w:pPr>
      <w:r>
        <w:rPr>
          <w:rFonts w:cstheme="minorHAnsi"/>
          <w:color w:val="000000"/>
        </w:rPr>
        <w:t xml:space="preserve">The </w:t>
      </w:r>
      <w:commentRangeStart w:id="6"/>
      <w:r w:rsidR="00DB0D42">
        <w:rPr>
          <w:rFonts w:cstheme="minorHAnsi"/>
          <w:color w:val="000000"/>
        </w:rPr>
        <w:t>Protest Officer</w:t>
      </w:r>
      <w:r w:rsidR="0028130C" w:rsidRPr="00D96EA3">
        <w:rPr>
          <w:rFonts w:cstheme="minorHAnsi"/>
          <w:color w:val="000000"/>
        </w:rPr>
        <w:t xml:space="preserve"> </w:t>
      </w:r>
      <w:commentRangeEnd w:id="6"/>
      <w:r w:rsidR="000D006F">
        <w:rPr>
          <w:rStyle w:val="CommentReference"/>
        </w:rPr>
        <w:commentReference w:id="6"/>
      </w:r>
      <w:r w:rsidR="0028130C" w:rsidRPr="00D96EA3">
        <w:rPr>
          <w:rFonts w:cstheme="minorHAnsi"/>
          <w:color w:val="000000"/>
        </w:rPr>
        <w:t>must issue a written protest response no more than 10 business days from receipt of the protest, unless additional time is needed. The agency should notify the protesting bidde</w:t>
      </w:r>
      <w:r w:rsidR="00D96EA3">
        <w:rPr>
          <w:rFonts w:cstheme="minorHAnsi"/>
          <w:color w:val="000000"/>
        </w:rPr>
        <w:t>r if additional time is needed.</w:t>
      </w:r>
    </w:p>
    <w:p w14:paraId="075E0975" w14:textId="77777777" w:rsidR="00DB0D42" w:rsidRPr="0014117B" w:rsidRDefault="00DB0D42" w:rsidP="00DB0D42">
      <w:pPr>
        <w:pStyle w:val="ListParagraph"/>
        <w:widowControl w:val="0"/>
        <w:numPr>
          <w:ilvl w:val="2"/>
          <w:numId w:val="5"/>
        </w:numPr>
      </w:pPr>
      <w:commentRangeStart w:id="7"/>
      <w:r w:rsidRPr="0014117B">
        <w:t xml:space="preserve">Agency has discretion to cancel procurement, if desired. </w:t>
      </w:r>
    </w:p>
    <w:p w14:paraId="3D9D83AD" w14:textId="77777777" w:rsidR="00DB0D42" w:rsidRPr="0014117B" w:rsidRDefault="00DB0D42" w:rsidP="00DB0D42">
      <w:pPr>
        <w:pStyle w:val="ListParagraph"/>
        <w:widowControl w:val="0"/>
        <w:numPr>
          <w:ilvl w:val="2"/>
          <w:numId w:val="5"/>
        </w:numPr>
      </w:pPr>
      <w:r w:rsidRPr="0014117B">
        <w:t xml:space="preserve">Agency has discretion to award any unprotested categories, if desired and appropriate. </w:t>
      </w:r>
      <w:commentRangeEnd w:id="7"/>
      <w:r w:rsidR="000D006F">
        <w:rPr>
          <w:rStyle w:val="CommentReference"/>
        </w:rPr>
        <w:commentReference w:id="7"/>
      </w:r>
    </w:p>
    <w:p w14:paraId="5ED16A33" w14:textId="77777777" w:rsidR="00D96EA3" w:rsidRDefault="00DB0D42" w:rsidP="00D96EA3">
      <w:pPr>
        <w:pStyle w:val="ListParagraph"/>
        <w:numPr>
          <w:ilvl w:val="1"/>
          <w:numId w:val="5"/>
        </w:numPr>
        <w:autoSpaceDE w:val="0"/>
        <w:autoSpaceDN w:val="0"/>
        <w:adjustRightInd w:val="0"/>
        <w:spacing w:after="0" w:line="240" w:lineRule="auto"/>
        <w:rPr>
          <w:rFonts w:cstheme="minorHAnsi"/>
          <w:color w:val="000000"/>
        </w:rPr>
      </w:pPr>
      <w:r>
        <w:rPr>
          <w:rFonts w:cstheme="minorHAnsi"/>
          <w:color w:val="000000"/>
        </w:rPr>
        <w:t xml:space="preserve">The </w:t>
      </w:r>
      <w:commentRangeStart w:id="8"/>
      <w:r>
        <w:rPr>
          <w:rFonts w:cstheme="minorHAnsi"/>
          <w:color w:val="000000"/>
        </w:rPr>
        <w:t>Protest Officer’s</w:t>
      </w:r>
      <w:r w:rsidR="0028130C" w:rsidRPr="00D96EA3">
        <w:rPr>
          <w:rFonts w:cstheme="minorHAnsi"/>
          <w:color w:val="000000"/>
        </w:rPr>
        <w:t xml:space="preserve"> </w:t>
      </w:r>
      <w:commentRangeEnd w:id="8"/>
      <w:r w:rsidR="000D006F">
        <w:rPr>
          <w:rStyle w:val="CommentReference"/>
        </w:rPr>
        <w:commentReference w:id="8"/>
      </w:r>
      <w:r w:rsidR="0028130C" w:rsidRPr="00D96EA3">
        <w:rPr>
          <w:rFonts w:cstheme="minorHAnsi"/>
          <w:color w:val="000000"/>
        </w:rPr>
        <w:t>decision is final and no appeal process will be required. If a protesting b</w:t>
      </w:r>
      <w:r>
        <w:rPr>
          <w:rFonts w:cstheme="minorHAnsi"/>
          <w:color w:val="000000"/>
        </w:rPr>
        <w:t>idder does not accept the Protest Officer’s</w:t>
      </w:r>
      <w:r w:rsidR="0028130C" w:rsidRPr="00D96EA3">
        <w:rPr>
          <w:rFonts w:cstheme="minorHAnsi"/>
          <w:color w:val="000000"/>
        </w:rPr>
        <w:t xml:space="preserve"> protest response, the bidder may seek relief from superior court. </w:t>
      </w:r>
    </w:p>
    <w:p w14:paraId="22E40504" w14:textId="77777777" w:rsidR="00D96EA3" w:rsidRDefault="002B5FC2" w:rsidP="00D96EA3">
      <w:pPr>
        <w:pStyle w:val="ListParagraph"/>
        <w:numPr>
          <w:ilvl w:val="1"/>
          <w:numId w:val="5"/>
        </w:numPr>
        <w:autoSpaceDE w:val="0"/>
        <w:autoSpaceDN w:val="0"/>
        <w:adjustRightInd w:val="0"/>
        <w:spacing w:after="0" w:line="240" w:lineRule="auto"/>
        <w:rPr>
          <w:rFonts w:cstheme="minorHAnsi"/>
          <w:color w:val="000000"/>
        </w:rPr>
      </w:pPr>
      <w:r>
        <w:rPr>
          <w:rFonts w:cstheme="minorHAnsi"/>
          <w:color w:val="000000"/>
        </w:rPr>
        <w:t>At the time that the</w:t>
      </w:r>
      <w:r w:rsidR="0028130C" w:rsidRPr="00D96EA3">
        <w:rPr>
          <w:rFonts w:cstheme="minorHAnsi"/>
          <w:color w:val="000000"/>
        </w:rPr>
        <w:t xml:space="preserve"> protest response is issued, the agency head and the Department of Enterprise Services Director must be provided a copy of the original protest and the agency's response. </w:t>
      </w:r>
    </w:p>
    <w:p w14:paraId="20A11FCE" w14:textId="77777777" w:rsidR="0028130C" w:rsidRPr="00D96EA3" w:rsidRDefault="0028130C" w:rsidP="00D96EA3">
      <w:pPr>
        <w:pStyle w:val="ListParagraph"/>
        <w:numPr>
          <w:ilvl w:val="1"/>
          <w:numId w:val="5"/>
        </w:numPr>
        <w:autoSpaceDE w:val="0"/>
        <w:autoSpaceDN w:val="0"/>
        <w:adjustRightInd w:val="0"/>
        <w:spacing w:after="0" w:line="240" w:lineRule="auto"/>
        <w:rPr>
          <w:rFonts w:cstheme="minorHAnsi"/>
          <w:color w:val="000000"/>
        </w:rPr>
      </w:pPr>
      <w:r w:rsidRPr="00D96EA3">
        <w:rPr>
          <w:rFonts w:cstheme="minorHAnsi"/>
          <w:color w:val="000000"/>
        </w:rPr>
        <w:t>Small and micro agencies that lack staff to address a protest may request assistance from DES</w:t>
      </w:r>
      <w:r w:rsidR="00D96EA3">
        <w:rPr>
          <w:rFonts w:cstheme="minorHAnsi"/>
          <w:color w:val="000000"/>
        </w:rPr>
        <w:t xml:space="preserve"> </w:t>
      </w:r>
      <w:commentRangeStart w:id="9"/>
      <w:r w:rsidR="00D96EA3">
        <w:rPr>
          <w:rFonts w:cstheme="minorHAnsi"/>
          <w:color w:val="000000"/>
        </w:rPr>
        <w:t>or another agency</w:t>
      </w:r>
      <w:commentRangeEnd w:id="9"/>
      <w:r w:rsidR="000D006F">
        <w:rPr>
          <w:rStyle w:val="CommentReference"/>
        </w:rPr>
        <w:commentReference w:id="9"/>
      </w:r>
      <w:r w:rsidRPr="00D96EA3">
        <w:rPr>
          <w:rFonts w:cstheme="minorHAnsi"/>
          <w:color w:val="000000"/>
        </w:rPr>
        <w:t xml:space="preserve">. </w:t>
      </w:r>
    </w:p>
    <w:p w14:paraId="604DE1E6" w14:textId="77777777" w:rsidR="00423A67" w:rsidRPr="008854B0" w:rsidRDefault="006D3C60" w:rsidP="005E10A9">
      <w:pPr>
        <w:pStyle w:val="Heading1"/>
        <w:numPr>
          <w:ilvl w:val="0"/>
          <w:numId w:val="5"/>
        </w:numPr>
        <w:spacing w:line="240" w:lineRule="auto"/>
        <w:rPr>
          <w:rFonts w:ascii="Calibri" w:hAnsi="Calibri" w:cstheme="minorHAnsi"/>
          <w:b/>
          <w:sz w:val="22"/>
          <w:szCs w:val="22"/>
        </w:rPr>
      </w:pPr>
      <w:r w:rsidRPr="00025BF3">
        <w:rPr>
          <w:rFonts w:ascii="Calibri" w:hAnsi="Calibri" w:cstheme="minorHAnsi"/>
          <w:b/>
          <w:sz w:val="22"/>
          <w:szCs w:val="22"/>
        </w:rPr>
        <w:lastRenderedPageBreak/>
        <w:t>Additional Requirements</w:t>
      </w:r>
      <w:r w:rsidR="005E10A9" w:rsidRPr="008854B0">
        <w:rPr>
          <w:rFonts w:ascii="Calibri" w:hAnsi="Calibri" w:cstheme="minorHAnsi"/>
          <w:b/>
          <w:sz w:val="22"/>
          <w:szCs w:val="22"/>
        </w:rPr>
        <w:t xml:space="preserve"> </w:t>
      </w:r>
    </w:p>
    <w:p w14:paraId="26E01A02" w14:textId="7FACED9D" w:rsidR="00317110" w:rsidRDefault="002A5498" w:rsidP="00317110">
      <w:pPr>
        <w:pStyle w:val="ListParagraph"/>
        <w:numPr>
          <w:ilvl w:val="1"/>
          <w:numId w:val="22"/>
        </w:numPr>
        <w:autoSpaceDE w:val="0"/>
        <w:autoSpaceDN w:val="0"/>
        <w:adjustRightInd w:val="0"/>
        <w:spacing w:after="0" w:line="240" w:lineRule="auto"/>
        <w:rPr>
          <w:rFonts w:cstheme="minorHAnsi"/>
          <w:color w:val="000000"/>
        </w:rPr>
      </w:pPr>
      <w:r>
        <w:rPr>
          <w:rFonts w:cstheme="minorHAnsi"/>
          <w:color w:val="000000"/>
        </w:rPr>
        <w:t>Consistent with RCW 39.26.160(7)</w:t>
      </w:r>
      <w:r w:rsidR="006D3C60" w:rsidRPr="00AF578D">
        <w:rPr>
          <w:rFonts w:cstheme="minorHAnsi"/>
          <w:color w:val="000000"/>
        </w:rPr>
        <w:t>, all competitive procurements must include an announcement of the ASB(s)</w:t>
      </w:r>
      <w:r>
        <w:rPr>
          <w:rFonts w:cstheme="minorHAnsi"/>
          <w:color w:val="000000"/>
        </w:rPr>
        <w:t xml:space="preserve">, </w:t>
      </w:r>
      <w:commentRangeStart w:id="10"/>
      <w:r>
        <w:rPr>
          <w:rFonts w:cstheme="minorHAnsi"/>
          <w:color w:val="000000"/>
        </w:rPr>
        <w:t xml:space="preserve">using the state’s </w:t>
      </w:r>
      <w:r>
        <w:t>enterprise vendor registration and bid notification system</w:t>
      </w:r>
      <w:commentRangeEnd w:id="10"/>
      <w:r w:rsidR="000D006F">
        <w:rPr>
          <w:rStyle w:val="CommentReference"/>
        </w:rPr>
        <w:commentReference w:id="10"/>
      </w:r>
      <w:r w:rsidR="006D3C60" w:rsidRPr="00AF578D">
        <w:rPr>
          <w:rFonts w:cstheme="minorHAnsi"/>
          <w:color w:val="000000"/>
        </w:rPr>
        <w:t xml:space="preserve">. </w:t>
      </w:r>
    </w:p>
    <w:p w14:paraId="7E529650" w14:textId="7A4F21CC" w:rsidR="00317110" w:rsidRDefault="006D3C60" w:rsidP="00317110">
      <w:pPr>
        <w:pStyle w:val="ListParagraph"/>
        <w:numPr>
          <w:ilvl w:val="1"/>
          <w:numId w:val="22"/>
        </w:numPr>
        <w:autoSpaceDE w:val="0"/>
        <w:autoSpaceDN w:val="0"/>
        <w:adjustRightInd w:val="0"/>
        <w:spacing w:after="0" w:line="240" w:lineRule="auto"/>
        <w:rPr>
          <w:rFonts w:cstheme="minorHAnsi"/>
          <w:color w:val="000000"/>
        </w:rPr>
      </w:pPr>
      <w:r w:rsidRPr="00317110">
        <w:rPr>
          <w:rFonts w:cstheme="minorHAnsi"/>
          <w:color w:val="000000"/>
        </w:rPr>
        <w:t>Consistent with RCW 39.26.030</w:t>
      </w:r>
      <w:r w:rsidR="001E68EB">
        <w:rPr>
          <w:rFonts w:cstheme="minorHAnsi"/>
          <w:color w:val="000000"/>
        </w:rPr>
        <w:t xml:space="preserve"> and </w:t>
      </w:r>
      <w:hyperlink r:id="rId13" w:history="1">
        <w:r w:rsidR="001E68EB" w:rsidRPr="001E68EB">
          <w:rPr>
            <w:rStyle w:val="Hyperlink"/>
            <w:rFonts w:cstheme="minorHAnsi"/>
          </w:rPr>
          <w:t>the Office of Attorney General’s Obtaining Records Guide</w:t>
        </w:r>
      </w:hyperlink>
      <w:r w:rsidRPr="00317110">
        <w:rPr>
          <w:rFonts w:cstheme="minorHAnsi"/>
          <w:color w:val="000000"/>
        </w:rPr>
        <w:t xml:space="preserve">, following the announcement of the ASB(s), bid submissions and bid evaluations must be available for public inspection. </w:t>
      </w:r>
      <w:r w:rsidR="00317110" w:rsidRPr="00317110">
        <w:rPr>
          <w:rFonts w:cstheme="minorHAnsi"/>
          <w:color w:val="000000"/>
        </w:rPr>
        <w:t xml:space="preserve"> </w:t>
      </w:r>
    </w:p>
    <w:p w14:paraId="415D883A" w14:textId="77777777" w:rsidR="00317110" w:rsidRPr="0014117B" w:rsidRDefault="00317110" w:rsidP="00317110">
      <w:pPr>
        <w:pStyle w:val="ListParagraph"/>
        <w:numPr>
          <w:ilvl w:val="2"/>
          <w:numId w:val="22"/>
        </w:numPr>
        <w:autoSpaceDE w:val="0"/>
        <w:autoSpaceDN w:val="0"/>
        <w:adjustRightInd w:val="0"/>
        <w:spacing w:after="0" w:line="240" w:lineRule="auto"/>
        <w:rPr>
          <w:rFonts w:cstheme="minorHAnsi"/>
          <w:color w:val="000000"/>
        </w:rPr>
      </w:pPr>
      <w:commentRangeStart w:id="11"/>
      <w:r w:rsidRPr="0014117B">
        <w:t xml:space="preserve">Bid submissions &amp; bid evaluations are </w:t>
      </w:r>
      <w:r w:rsidR="00486563" w:rsidRPr="0014117B">
        <w:rPr>
          <w:u w:val="single"/>
        </w:rPr>
        <w:t>temporarily</w:t>
      </w:r>
      <w:r w:rsidR="00486563" w:rsidRPr="0014117B">
        <w:t xml:space="preserve"> </w:t>
      </w:r>
      <w:r w:rsidRPr="0014117B">
        <w:t xml:space="preserve">exempt from disclosure until announcement of ASB(s). </w:t>
      </w:r>
    </w:p>
    <w:p w14:paraId="3C3FFB01" w14:textId="77777777" w:rsidR="006D3C60" w:rsidRPr="0014117B" w:rsidRDefault="00317110" w:rsidP="002B5FC2">
      <w:pPr>
        <w:pStyle w:val="ListParagraph"/>
        <w:widowControl w:val="0"/>
        <w:numPr>
          <w:ilvl w:val="2"/>
          <w:numId w:val="22"/>
        </w:numPr>
      </w:pPr>
      <w:r w:rsidRPr="0014117B">
        <w:t>If reque</w:t>
      </w:r>
      <w:r w:rsidR="00486563" w:rsidRPr="0014117B">
        <w:t xml:space="preserve">sted, the protest period should not </w:t>
      </w:r>
      <w:r w:rsidRPr="0014117B">
        <w:t>conclude before the requestor has been provided with this information</w:t>
      </w:r>
      <w:r w:rsidR="002B5FC2" w:rsidRPr="0014117B">
        <w:t>,</w:t>
      </w:r>
      <w:r w:rsidRPr="0014117B">
        <w:t xml:space="preserve"> which may be relevant to the person’s protest.</w:t>
      </w:r>
      <w:commentRangeEnd w:id="11"/>
      <w:r w:rsidR="000D006F">
        <w:rPr>
          <w:rStyle w:val="CommentReference"/>
        </w:rPr>
        <w:commentReference w:id="11"/>
      </w:r>
      <w:r w:rsidRPr="0014117B">
        <w:t xml:space="preserve"> </w:t>
      </w:r>
    </w:p>
    <w:p w14:paraId="7D8D1859" w14:textId="77777777" w:rsidR="005E10A9" w:rsidRPr="008854B0" w:rsidRDefault="006D3C60" w:rsidP="00025BF3">
      <w:pPr>
        <w:pStyle w:val="Heading1"/>
        <w:numPr>
          <w:ilvl w:val="0"/>
          <w:numId w:val="5"/>
        </w:numPr>
        <w:spacing w:line="240" w:lineRule="auto"/>
        <w:rPr>
          <w:rFonts w:ascii="Calibri" w:hAnsi="Calibri" w:cstheme="minorHAnsi"/>
          <w:b/>
          <w:sz w:val="22"/>
          <w:szCs w:val="22"/>
        </w:rPr>
      </w:pPr>
      <w:r w:rsidRPr="00025BF3">
        <w:rPr>
          <w:rFonts w:ascii="Calibri" w:hAnsi="Calibri" w:cstheme="minorHAnsi"/>
          <w:b/>
          <w:sz w:val="22"/>
          <w:szCs w:val="22"/>
        </w:rPr>
        <w:t>Compliance</w:t>
      </w:r>
    </w:p>
    <w:p w14:paraId="28EBF702" w14:textId="77777777" w:rsidR="006D3C60" w:rsidRPr="004D75AB" w:rsidRDefault="006D3C60" w:rsidP="008854B0">
      <w:pPr>
        <w:autoSpaceDE w:val="0"/>
        <w:autoSpaceDN w:val="0"/>
        <w:adjustRightInd w:val="0"/>
        <w:spacing w:after="0" w:line="240" w:lineRule="auto"/>
        <w:ind w:left="360"/>
        <w:rPr>
          <w:rFonts w:cstheme="minorHAnsi"/>
          <w:color w:val="000000"/>
        </w:rPr>
      </w:pPr>
      <w:r w:rsidRPr="006D3C60">
        <w:rPr>
          <w:rFonts w:cstheme="minorHAnsi"/>
          <w:color w:val="000000"/>
        </w:rPr>
        <w:t xml:space="preserve">Agencies are expected to exercise sound professional judgment </w:t>
      </w:r>
      <w:r w:rsidR="00BD7705">
        <w:rPr>
          <w:rFonts w:cstheme="minorHAnsi"/>
          <w:color w:val="000000"/>
        </w:rPr>
        <w:t>when</w:t>
      </w:r>
      <w:r w:rsidR="00BD7705" w:rsidRPr="006D3C60">
        <w:rPr>
          <w:rFonts w:cstheme="minorHAnsi"/>
          <w:color w:val="000000"/>
        </w:rPr>
        <w:t xml:space="preserve"> </w:t>
      </w:r>
      <w:r w:rsidRPr="006D3C60">
        <w:rPr>
          <w:rFonts w:cstheme="minorHAnsi"/>
          <w:color w:val="000000"/>
        </w:rPr>
        <w:t xml:space="preserve">implementing </w:t>
      </w:r>
      <w:r w:rsidR="00BD7705">
        <w:rPr>
          <w:rFonts w:cstheme="minorHAnsi"/>
          <w:color w:val="000000"/>
        </w:rPr>
        <w:t>their</w:t>
      </w:r>
      <w:r w:rsidR="00BD7705" w:rsidRPr="006D3C60">
        <w:rPr>
          <w:rFonts w:cstheme="minorHAnsi"/>
          <w:color w:val="000000"/>
        </w:rPr>
        <w:t xml:space="preserve"> </w:t>
      </w:r>
      <w:r w:rsidRPr="006D3C60">
        <w:rPr>
          <w:rFonts w:cstheme="minorHAnsi"/>
          <w:color w:val="000000"/>
        </w:rPr>
        <w:t>objective and transparent complaint and protest process</w:t>
      </w:r>
      <w:r w:rsidR="00BD7705">
        <w:rPr>
          <w:rFonts w:cstheme="minorHAnsi"/>
          <w:color w:val="000000"/>
        </w:rPr>
        <w:t>es</w:t>
      </w:r>
      <w:r w:rsidRPr="006D3C60">
        <w:rPr>
          <w:rFonts w:cstheme="minorHAnsi"/>
          <w:color w:val="000000"/>
        </w:rPr>
        <w:t>. The agency’s record of compliance will be factored into the agency</w:t>
      </w:r>
      <w:r w:rsidR="00BD7705">
        <w:rPr>
          <w:rFonts w:cstheme="minorHAnsi"/>
          <w:color w:val="000000"/>
        </w:rPr>
        <w:t>’s procurement</w:t>
      </w:r>
      <w:r w:rsidRPr="006D3C60">
        <w:rPr>
          <w:rFonts w:cstheme="minorHAnsi"/>
          <w:color w:val="000000"/>
        </w:rPr>
        <w:t xml:space="preserve"> risk assessment. </w:t>
      </w:r>
    </w:p>
    <w:p w14:paraId="7F6FD81F" w14:textId="77777777" w:rsidR="004D75AB" w:rsidRPr="00025BF3" w:rsidRDefault="004D75AB" w:rsidP="00025BF3">
      <w:pPr>
        <w:pStyle w:val="Heading1"/>
        <w:numPr>
          <w:ilvl w:val="0"/>
          <w:numId w:val="5"/>
        </w:numPr>
        <w:spacing w:line="240" w:lineRule="auto"/>
        <w:rPr>
          <w:rFonts w:ascii="Calibri" w:hAnsi="Calibri" w:cstheme="minorHAnsi"/>
          <w:b/>
          <w:sz w:val="22"/>
          <w:szCs w:val="22"/>
        </w:rPr>
      </w:pPr>
      <w:r w:rsidRPr="00025BF3">
        <w:rPr>
          <w:rFonts w:ascii="Calibri" w:hAnsi="Calibri" w:cstheme="minorHAnsi"/>
          <w:b/>
          <w:sz w:val="22"/>
          <w:szCs w:val="22"/>
        </w:rPr>
        <w:t>Exemptions</w:t>
      </w:r>
    </w:p>
    <w:p w14:paraId="00C319A6" w14:textId="77777777" w:rsidR="004D75AB" w:rsidRPr="004D75AB" w:rsidRDefault="004D75AB" w:rsidP="004C0902">
      <w:pPr>
        <w:autoSpaceDE w:val="0"/>
        <w:autoSpaceDN w:val="0"/>
        <w:adjustRightInd w:val="0"/>
        <w:spacing w:after="0" w:line="240" w:lineRule="auto"/>
        <w:ind w:left="360"/>
        <w:rPr>
          <w:rFonts w:cstheme="minorHAnsi"/>
          <w:color w:val="000000"/>
        </w:rPr>
      </w:pPr>
      <w:r w:rsidRPr="004D75AB">
        <w:rPr>
          <w:rFonts w:cstheme="minorHAnsi"/>
          <w:color w:val="000000"/>
        </w:rPr>
        <w:t xml:space="preserve">RCW 39.26.170(3) </w:t>
      </w:r>
    </w:p>
    <w:p w14:paraId="57BB967F" w14:textId="77777777" w:rsidR="004D75AB" w:rsidRPr="004D75AB" w:rsidRDefault="004D75AB" w:rsidP="004C0902">
      <w:pPr>
        <w:autoSpaceDE w:val="0"/>
        <w:autoSpaceDN w:val="0"/>
        <w:adjustRightInd w:val="0"/>
        <w:spacing w:after="0" w:line="240" w:lineRule="auto"/>
        <w:ind w:left="360"/>
        <w:rPr>
          <w:rFonts w:cstheme="minorHAnsi"/>
          <w:color w:val="000000"/>
        </w:rPr>
      </w:pPr>
      <w:r w:rsidRPr="004D75AB">
        <w:rPr>
          <w:rFonts w:cstheme="minorHAnsi"/>
          <w:color w:val="000000"/>
        </w:rPr>
        <w:t xml:space="preserve">The agency may not sign a contract before the protest process is completed except when the Enterprise Services Director grants the agency the authority to do so. Authority will only be granted if there are exigent circumstances that necessitate the contract to be signed. To request an exemption, the agency head must submit the request to the Enterprise Services Director. The request should explain the exigent circumstances and why it would be in the best interest of the state to grant the request. </w:t>
      </w:r>
    </w:p>
    <w:p w14:paraId="528971E2" w14:textId="77777777" w:rsidR="00A45F37" w:rsidRDefault="004D75AB" w:rsidP="00A45F37">
      <w:pPr>
        <w:pStyle w:val="Heading1"/>
        <w:numPr>
          <w:ilvl w:val="0"/>
          <w:numId w:val="5"/>
        </w:numPr>
        <w:spacing w:line="240" w:lineRule="auto"/>
        <w:rPr>
          <w:rFonts w:ascii="Calibri" w:hAnsi="Calibri" w:cstheme="minorHAnsi"/>
          <w:b/>
          <w:sz w:val="22"/>
          <w:szCs w:val="22"/>
        </w:rPr>
      </w:pPr>
      <w:commentRangeStart w:id="12"/>
      <w:r w:rsidRPr="00025BF3">
        <w:rPr>
          <w:rFonts w:ascii="Calibri" w:hAnsi="Calibri" w:cstheme="minorHAnsi"/>
          <w:b/>
          <w:sz w:val="22"/>
          <w:szCs w:val="22"/>
        </w:rPr>
        <w:t>Training:</w:t>
      </w:r>
      <w:r w:rsidR="005E10A9" w:rsidRPr="00025BF3">
        <w:rPr>
          <w:rFonts w:ascii="Calibri" w:hAnsi="Calibri" w:cstheme="minorHAnsi"/>
          <w:b/>
          <w:sz w:val="22"/>
          <w:szCs w:val="22"/>
        </w:rPr>
        <w:t xml:space="preserve"> </w:t>
      </w:r>
      <w:commentRangeEnd w:id="12"/>
      <w:r w:rsidR="00FE7637">
        <w:rPr>
          <w:rStyle w:val="CommentReference"/>
          <w:rFonts w:asciiTheme="minorHAnsi" w:eastAsiaTheme="minorHAnsi" w:hAnsiTheme="minorHAnsi" w:cstheme="minorBidi"/>
          <w:color w:val="auto"/>
        </w:rPr>
        <w:commentReference w:id="12"/>
      </w:r>
    </w:p>
    <w:p w14:paraId="7DE2D80B" w14:textId="77777777" w:rsidR="00200DA1" w:rsidRPr="001D6607" w:rsidRDefault="00200DA1" w:rsidP="00392C22">
      <w:pPr>
        <w:pStyle w:val="ListParagraph"/>
      </w:pPr>
      <w:r w:rsidRPr="00A45F37">
        <w:t>Agenc</w:t>
      </w:r>
      <w:r w:rsidR="0087040C" w:rsidRPr="00A45F37">
        <w:t xml:space="preserve">y personnel </w:t>
      </w:r>
      <w:r w:rsidR="00CA480B" w:rsidRPr="00A45F37">
        <w:t>who</w:t>
      </w:r>
      <w:r w:rsidR="0087040C" w:rsidRPr="00A45F37">
        <w:t xml:space="preserve"> are responsible for managing a contract must complete DES</w:t>
      </w:r>
      <w:r w:rsidR="00CA480B" w:rsidRPr="00A45F37">
        <w:t>’</w:t>
      </w:r>
      <w:r w:rsidR="0087040C" w:rsidRPr="00A45F37">
        <w:t xml:space="preserve"> Contract Management train</w:t>
      </w:r>
      <w:r w:rsidR="0087040C" w:rsidRPr="001D6607">
        <w:t>ing.</w:t>
      </w:r>
    </w:p>
    <w:p w14:paraId="02872240" w14:textId="77777777" w:rsidR="00200DA1" w:rsidRPr="001D6607" w:rsidRDefault="00AD76DE" w:rsidP="00392C22">
      <w:pPr>
        <w:pStyle w:val="ListParagraph"/>
      </w:pPr>
      <w:r w:rsidRPr="001D6607">
        <w:t xml:space="preserve">Obtain training – </w:t>
      </w:r>
      <w:r w:rsidR="00B87CC9" w:rsidRPr="001D6607">
        <w:t>DES</w:t>
      </w:r>
      <w:r w:rsidRPr="001D6607">
        <w:t xml:space="preserve"> has made the training program </w:t>
      </w:r>
      <w:r w:rsidR="00200DA1" w:rsidRPr="001D6607">
        <w:t>available in the Learning Management System (LMS).</w:t>
      </w:r>
    </w:p>
    <w:p w14:paraId="1539954B" w14:textId="5D0B3196" w:rsidR="00200DA1" w:rsidRPr="001D6607" w:rsidRDefault="00AD76DE" w:rsidP="00392C22">
      <w:pPr>
        <w:pStyle w:val="ListParagraph"/>
        <w:rPr>
          <w:rFonts w:ascii="Calibri" w:hAnsi="Calibri"/>
        </w:rPr>
      </w:pPr>
      <w:r w:rsidRPr="001D6607">
        <w:t xml:space="preserve">Training new </w:t>
      </w:r>
      <w:bookmarkStart w:id="13" w:name="_GoBack"/>
      <w:bookmarkEnd w:id="13"/>
      <w:r w:rsidRPr="001D6607">
        <w:t xml:space="preserve">employees – </w:t>
      </w:r>
      <w:r w:rsidR="00200DA1" w:rsidRPr="001D6607">
        <w:t>Employees assign</w:t>
      </w:r>
      <w:r w:rsidR="0014117B">
        <w:t>ed these responsibilities</w:t>
      </w:r>
      <w:r w:rsidR="00200DA1" w:rsidRPr="001D6607">
        <w:t xml:space="preserve"> shall complete the required training within 90 days of assignment. Specifically, this applies to </w:t>
      </w:r>
      <w:r w:rsidRPr="001D6607">
        <w:t xml:space="preserve">anyone who is responsible for managing a contract </w:t>
      </w:r>
      <w:r w:rsidR="00200DA1" w:rsidRPr="001D6607">
        <w:t>a</w:t>
      </w:r>
      <w:r w:rsidRPr="001D6607">
        <w:t>nd is a</w:t>
      </w:r>
      <w:r w:rsidR="00200DA1" w:rsidRPr="001D6607">
        <w:t xml:space="preserve"> new employee, </w:t>
      </w:r>
      <w:r w:rsidRPr="001D6607">
        <w:t xml:space="preserve">current staff </w:t>
      </w:r>
      <w:r w:rsidR="00200DA1" w:rsidRPr="001D6607">
        <w:t xml:space="preserve">assigned </w:t>
      </w:r>
      <w:r w:rsidRPr="001D6607">
        <w:t xml:space="preserve">to </w:t>
      </w:r>
      <w:r w:rsidR="00200DA1" w:rsidRPr="001D6607">
        <w:t xml:space="preserve">new responsibilities/duties, </w:t>
      </w:r>
      <w:r w:rsidRPr="001D6607">
        <w:t xml:space="preserve">or an </w:t>
      </w:r>
      <w:r w:rsidR="00200DA1" w:rsidRPr="001D6607">
        <w:t>employee</w:t>
      </w:r>
      <w:r w:rsidRPr="001D6607">
        <w:t xml:space="preserve"> assigned to a</w:t>
      </w:r>
      <w:r w:rsidR="00200DA1" w:rsidRPr="001D6607">
        <w:t xml:space="preserve"> new position.</w:t>
      </w:r>
      <w:r w:rsidR="00B419CE" w:rsidRPr="001D6607">
        <w:t xml:space="preserve">  More information on specific training requirements</w:t>
      </w:r>
      <w:r w:rsidR="00B419CE" w:rsidRPr="001D6607">
        <w:rPr>
          <w:rFonts w:ascii="Calibri" w:hAnsi="Calibri"/>
        </w:rPr>
        <w:t xml:space="preserve"> can be found </w:t>
      </w:r>
      <w:proofErr w:type="gramStart"/>
      <w:r w:rsidR="00B419CE" w:rsidRPr="001D6607">
        <w:rPr>
          <w:rFonts w:ascii="Calibri" w:hAnsi="Calibri"/>
        </w:rPr>
        <w:t>at:</w:t>
      </w:r>
      <w:proofErr w:type="gramEnd"/>
      <w:r w:rsidR="00B419CE" w:rsidRPr="001D6607">
        <w:rPr>
          <w:rFonts w:ascii="Calibri" w:hAnsi="Calibri"/>
        </w:rPr>
        <w:t xml:space="preserve">  </w:t>
      </w:r>
      <w:hyperlink r:id="rId14" w:history="1">
        <w:r w:rsidR="00225649" w:rsidRPr="001D6607">
          <w:rPr>
            <w:rStyle w:val="Hyperlink"/>
            <w:rFonts w:ascii="Calibri" w:hAnsi="Calibri"/>
          </w:rPr>
          <w:t>Contracts &amp; Procurement Training &amp; Development</w:t>
        </w:r>
      </w:hyperlink>
      <w:r w:rsidR="00B419CE" w:rsidRPr="001D6607">
        <w:rPr>
          <w:rFonts w:ascii="Calibri" w:hAnsi="Calibri"/>
        </w:rPr>
        <w:t>.</w:t>
      </w:r>
    </w:p>
    <w:p w14:paraId="5D211FE2" w14:textId="77777777" w:rsidR="00200DA1" w:rsidRPr="004D75AB" w:rsidRDefault="00200DA1" w:rsidP="005A251E">
      <w:pPr>
        <w:pStyle w:val="TableParagraph"/>
        <w:ind w:left="450"/>
        <w:rPr>
          <w:rFonts w:cstheme="minorHAnsi"/>
        </w:rPr>
      </w:pPr>
    </w:p>
    <w:p w14:paraId="5AD11670" w14:textId="77777777" w:rsidR="000A00BA" w:rsidRDefault="005E10A9" w:rsidP="00C666A6">
      <w:pPr>
        <w:pStyle w:val="Heading1"/>
        <w:pBdr>
          <w:top w:val="single" w:sz="4" w:space="1" w:color="auto"/>
        </w:pBdr>
      </w:pPr>
      <w:r>
        <w:t>Procedur</w:t>
      </w:r>
      <w:r w:rsidR="00B87CC9">
        <w:t>es</w:t>
      </w:r>
    </w:p>
    <w:p w14:paraId="2256B1C3" w14:textId="77777777" w:rsidR="005E10A9" w:rsidRDefault="005E10A9" w:rsidP="0032493C">
      <w:pPr>
        <w:spacing w:after="0" w:line="240" w:lineRule="auto"/>
      </w:pPr>
      <w:commentRangeStart w:id="14"/>
      <w:r>
        <w:t xml:space="preserve">Complaints and Protests Procedure – DES-PRO-170-00 </w:t>
      </w:r>
      <w:r w:rsidRPr="005E10A9">
        <w:rPr>
          <w:highlight w:val="yellow"/>
        </w:rPr>
        <w:t>[link]</w:t>
      </w:r>
      <w:commentRangeEnd w:id="14"/>
      <w:r w:rsidR="000D006F">
        <w:rPr>
          <w:rStyle w:val="CommentReference"/>
        </w:rPr>
        <w:commentReference w:id="14"/>
      </w:r>
    </w:p>
    <w:p w14:paraId="3B5864B9" w14:textId="77777777" w:rsidR="00A76FE6" w:rsidRDefault="00C264CA" w:rsidP="00A76FE6">
      <w:pPr>
        <w:pStyle w:val="Heading1"/>
        <w:pBdr>
          <w:top w:val="single" w:sz="4" w:space="1" w:color="auto"/>
        </w:pBdr>
      </w:pPr>
      <w:r>
        <w:t>Appendices</w:t>
      </w:r>
    </w:p>
    <w:p w14:paraId="491CE4F3" w14:textId="77777777" w:rsidR="00423CB2" w:rsidRPr="00DB657A" w:rsidRDefault="00DC1E69" w:rsidP="006F4DC4">
      <w:pPr>
        <w:pStyle w:val="ReferenceBottomLine"/>
        <w:rPr>
          <w:rStyle w:val="Hyperlink"/>
          <w:b w:val="0"/>
        </w:rPr>
      </w:pPr>
      <w:commentRangeStart w:id="15"/>
      <w:r>
        <w:t xml:space="preserve">Sample </w:t>
      </w:r>
      <w:r w:rsidR="00423CB2" w:rsidRPr="00240609">
        <w:t>Protest Officer’s</w:t>
      </w:r>
      <w:r w:rsidR="00423CB2" w:rsidRPr="00DB657A">
        <w:t xml:space="preserve"> </w:t>
      </w:r>
      <w:hyperlink r:id="rId15" w:history="1">
        <w:r w:rsidR="00423CB2" w:rsidRPr="00DB657A">
          <w:rPr>
            <w:rStyle w:val="Hyperlink"/>
            <w:b w:val="0"/>
          </w:rPr>
          <w:t>Protest Review and Conclusion</w:t>
        </w:r>
      </w:hyperlink>
      <w:r w:rsidR="00423CB2" w:rsidRPr="00DB657A">
        <w:rPr>
          <w:rStyle w:val="Hyperlink"/>
          <w:b w:val="0"/>
        </w:rPr>
        <w:t xml:space="preserve"> </w:t>
      </w:r>
    </w:p>
    <w:p w14:paraId="74880CA6" w14:textId="77777777" w:rsidR="00423CB2" w:rsidRPr="009B7337" w:rsidRDefault="00DC1E69" w:rsidP="006F4DC4">
      <w:pPr>
        <w:pStyle w:val="ReferenceBottomLine"/>
        <w:rPr>
          <w:color w:val="0563C1" w:themeColor="hyperlink"/>
          <w:u w:val="single"/>
        </w:rPr>
      </w:pPr>
      <w:r>
        <w:t xml:space="preserve">Sample </w:t>
      </w:r>
      <w:r w:rsidR="00423CB2" w:rsidRPr="00240609">
        <w:t xml:space="preserve">Protest Officer’s </w:t>
      </w:r>
      <w:hyperlink r:id="rId16" w:history="1">
        <w:r w:rsidR="00423CB2" w:rsidRPr="00240609">
          <w:rPr>
            <w:rStyle w:val="Hyperlink"/>
            <w:b w:val="0"/>
          </w:rPr>
          <w:t>Response Letter</w:t>
        </w:r>
      </w:hyperlink>
      <w:commentRangeEnd w:id="15"/>
      <w:r w:rsidR="000D006F">
        <w:rPr>
          <w:rStyle w:val="CommentReference"/>
          <w:b w:val="0"/>
          <w:color w:val="auto"/>
        </w:rPr>
        <w:commentReference w:id="15"/>
      </w:r>
    </w:p>
    <w:p w14:paraId="225A3C5C" w14:textId="77777777" w:rsidR="00CE6479" w:rsidRDefault="00CE6479" w:rsidP="00C264CA">
      <w:pPr>
        <w:pStyle w:val="Heading1"/>
        <w:pBdr>
          <w:top w:val="single" w:sz="4" w:space="1" w:color="auto"/>
        </w:pBdr>
      </w:pPr>
      <w:r w:rsidRPr="00D0246A">
        <w:lastRenderedPageBreak/>
        <w:t>History</w:t>
      </w:r>
    </w:p>
    <w:p w14:paraId="7ACA593B" w14:textId="77777777" w:rsidR="0002662C" w:rsidRPr="00026EBF" w:rsidRDefault="005E10A9" w:rsidP="00026EBF">
      <w:r>
        <w:t>Previous version – January 8, 2015</w:t>
      </w:r>
    </w:p>
    <w:p w14:paraId="3FCE1509" w14:textId="77777777" w:rsidR="00095EF9" w:rsidRPr="00D0246A" w:rsidRDefault="00095EF9" w:rsidP="003B4E6D">
      <w:pPr>
        <w:pStyle w:val="NoSpacing"/>
        <w:pBdr>
          <w:top w:val="single" w:sz="4" w:space="1" w:color="auto"/>
        </w:pBdr>
      </w:pPr>
    </w:p>
    <w:sectPr w:rsidR="00095EF9" w:rsidRPr="00D0246A" w:rsidSect="00CE6479">
      <w:headerReference w:type="even" r:id="rId17"/>
      <w:headerReference w:type="default" r:id="rId18"/>
      <w:footerReference w:type="even" r:id="rId19"/>
      <w:footerReference w:type="default" r:id="rId20"/>
      <w:headerReference w:type="first" r:id="rId21"/>
      <w:footerReference w:type="first" r:id="rId22"/>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initials="A">
    <w:p w14:paraId="395E7BA1" w14:textId="0867C9B0" w:rsidR="00C22015" w:rsidRDefault="00C22015" w:rsidP="006F161D">
      <w:pPr>
        <w:pStyle w:val="CommentText"/>
        <w:numPr>
          <w:ilvl w:val="0"/>
          <w:numId w:val="24"/>
        </w:numPr>
      </w:pPr>
      <w:r>
        <w:rPr>
          <w:rStyle w:val="CommentReference"/>
        </w:rPr>
        <w:annotationRef/>
      </w:r>
      <w:r w:rsidR="006F161D">
        <w:t xml:space="preserve"> </w:t>
      </w:r>
      <w:r>
        <w:t>The introduction has been revised to the new policy format.</w:t>
      </w:r>
    </w:p>
  </w:comment>
  <w:comment w:id="1" w:author="Author" w:initials="A">
    <w:p w14:paraId="6F7FA708" w14:textId="7AA5A3F2" w:rsidR="00392334" w:rsidRDefault="00392334" w:rsidP="006F161D">
      <w:pPr>
        <w:pStyle w:val="CommentText"/>
        <w:numPr>
          <w:ilvl w:val="0"/>
          <w:numId w:val="24"/>
        </w:numPr>
      </w:pPr>
      <w:r>
        <w:rPr>
          <w:rStyle w:val="CommentReference"/>
        </w:rPr>
        <w:annotationRef/>
      </w:r>
      <w:r w:rsidR="006F161D">
        <w:t xml:space="preserve"> </w:t>
      </w:r>
      <w:r>
        <w:t>This requirement ha</w:t>
      </w:r>
      <w:r w:rsidR="00C22015">
        <w:t>s been added to provide clarity, based on frequently asked questions.</w:t>
      </w:r>
    </w:p>
  </w:comment>
  <w:comment w:id="2" w:author="Author" w:initials="A">
    <w:p w14:paraId="751113B5" w14:textId="41E2135E" w:rsidR="00392334" w:rsidRDefault="00392334" w:rsidP="006F161D">
      <w:pPr>
        <w:pStyle w:val="CommentText"/>
        <w:numPr>
          <w:ilvl w:val="0"/>
          <w:numId w:val="24"/>
        </w:numPr>
      </w:pPr>
      <w:r>
        <w:rPr>
          <w:rStyle w:val="CommentReference"/>
        </w:rPr>
        <w:annotationRef/>
      </w:r>
      <w:r w:rsidR="006F161D">
        <w:t xml:space="preserve"> </w:t>
      </w:r>
      <w:r>
        <w:t>This requirement ha</w:t>
      </w:r>
      <w:r w:rsidR="00C22015">
        <w:t>s been added to provide clarity, based on frequently asked questions.</w:t>
      </w:r>
    </w:p>
  </w:comment>
  <w:comment w:id="3" w:author="Author" w:initials="A">
    <w:p w14:paraId="5F3C0C3F" w14:textId="4A4A92F9" w:rsidR="00392334" w:rsidRDefault="00392334" w:rsidP="006F161D">
      <w:pPr>
        <w:pStyle w:val="CommentText"/>
        <w:numPr>
          <w:ilvl w:val="0"/>
          <w:numId w:val="24"/>
        </w:numPr>
      </w:pPr>
      <w:r>
        <w:rPr>
          <w:rStyle w:val="CommentReference"/>
        </w:rPr>
        <w:annotationRef/>
      </w:r>
      <w:r w:rsidR="006F161D">
        <w:t xml:space="preserve"> </w:t>
      </w:r>
      <w:r>
        <w:t>These requirements have been added to provide clarity, based on frequently asked questions.</w:t>
      </w:r>
    </w:p>
  </w:comment>
  <w:comment w:id="4" w:author="Author" w:initials="A">
    <w:p w14:paraId="57646BBC" w14:textId="45CAECE8" w:rsidR="00392334" w:rsidRDefault="00392334" w:rsidP="006F161D">
      <w:pPr>
        <w:pStyle w:val="CommentText"/>
        <w:numPr>
          <w:ilvl w:val="0"/>
          <w:numId w:val="24"/>
        </w:numPr>
      </w:pPr>
      <w:r>
        <w:rPr>
          <w:rStyle w:val="CommentReference"/>
        </w:rPr>
        <w:annotationRef/>
      </w:r>
      <w:r w:rsidR="006F161D">
        <w:t xml:space="preserve"> </w:t>
      </w:r>
      <w:r>
        <w:t xml:space="preserve">Added a title to </w:t>
      </w:r>
      <w:r w:rsidR="000D006F">
        <w:t>the party for consistency with</w:t>
      </w:r>
      <w:r>
        <w:t xml:space="preserve"> t</w:t>
      </w:r>
      <w:r w:rsidR="00C22015">
        <w:t>he new P</w:t>
      </w:r>
      <w:r>
        <w:t>rocedure.</w:t>
      </w:r>
    </w:p>
  </w:comment>
  <w:comment w:id="5" w:author="Author" w:initials="A">
    <w:p w14:paraId="1AC6E6AC" w14:textId="5D6B1AF6" w:rsidR="000D006F" w:rsidRDefault="000D006F" w:rsidP="006F161D">
      <w:pPr>
        <w:pStyle w:val="CommentText"/>
        <w:numPr>
          <w:ilvl w:val="0"/>
          <w:numId w:val="24"/>
        </w:numPr>
      </w:pPr>
      <w:r>
        <w:rPr>
          <w:rStyle w:val="CommentReference"/>
        </w:rPr>
        <w:annotationRef/>
      </w:r>
      <w:r w:rsidR="006F161D">
        <w:t xml:space="preserve"> </w:t>
      </w:r>
      <w:r>
        <w:t>Added requirement based on practitioner experience.</w:t>
      </w:r>
    </w:p>
  </w:comment>
  <w:comment w:id="6" w:author="Author" w:initials="A">
    <w:p w14:paraId="339F21B3" w14:textId="053E3F44" w:rsidR="000D006F" w:rsidRDefault="000D006F" w:rsidP="006F161D">
      <w:pPr>
        <w:pStyle w:val="CommentText"/>
        <w:numPr>
          <w:ilvl w:val="0"/>
          <w:numId w:val="24"/>
        </w:numPr>
      </w:pPr>
      <w:r>
        <w:rPr>
          <w:rStyle w:val="CommentReference"/>
        </w:rPr>
        <w:annotationRef/>
      </w:r>
      <w:r w:rsidR="006F161D">
        <w:t xml:space="preserve"> </w:t>
      </w:r>
      <w:r>
        <w:t>Defined who within the Agency must issue the response.</w:t>
      </w:r>
    </w:p>
  </w:comment>
  <w:comment w:id="7" w:author="Author" w:initials="A">
    <w:p w14:paraId="250D1F32" w14:textId="08A81A4D" w:rsidR="000D006F" w:rsidRDefault="000D006F" w:rsidP="006F161D">
      <w:pPr>
        <w:pStyle w:val="CommentText"/>
        <w:numPr>
          <w:ilvl w:val="0"/>
          <w:numId w:val="24"/>
        </w:numPr>
      </w:pPr>
      <w:r>
        <w:rPr>
          <w:rStyle w:val="CommentReference"/>
        </w:rPr>
        <w:annotationRef/>
      </w:r>
      <w:r w:rsidR="006F161D">
        <w:t xml:space="preserve"> </w:t>
      </w:r>
      <w:r>
        <w:t xml:space="preserve">Added options based on DES’ Internal </w:t>
      </w:r>
      <w:r w:rsidR="00C22015">
        <w:t>Protest Process</w:t>
      </w:r>
      <w:r>
        <w:t>.</w:t>
      </w:r>
    </w:p>
  </w:comment>
  <w:comment w:id="8" w:author="Author" w:initials="A">
    <w:p w14:paraId="50948E06" w14:textId="4D868D9B" w:rsidR="000D006F" w:rsidRDefault="000D006F" w:rsidP="006F161D">
      <w:pPr>
        <w:pStyle w:val="CommentText"/>
        <w:numPr>
          <w:ilvl w:val="0"/>
          <w:numId w:val="24"/>
        </w:numPr>
      </w:pPr>
      <w:r>
        <w:rPr>
          <w:rStyle w:val="CommentReference"/>
        </w:rPr>
        <w:annotationRef/>
      </w:r>
      <w:r w:rsidR="006F161D">
        <w:t xml:space="preserve"> </w:t>
      </w:r>
      <w:r>
        <w:t>Defined who within the Agency makes the decision.</w:t>
      </w:r>
    </w:p>
  </w:comment>
  <w:comment w:id="9" w:author="Author" w:initials="A">
    <w:p w14:paraId="250C3E7C" w14:textId="0508CAD9" w:rsidR="000D006F" w:rsidRDefault="000D006F" w:rsidP="006F161D">
      <w:pPr>
        <w:pStyle w:val="CommentText"/>
        <w:numPr>
          <w:ilvl w:val="0"/>
          <w:numId w:val="24"/>
        </w:numPr>
      </w:pPr>
      <w:r>
        <w:rPr>
          <w:rStyle w:val="CommentReference"/>
        </w:rPr>
        <w:annotationRef/>
      </w:r>
      <w:r w:rsidR="006F161D">
        <w:t xml:space="preserve"> </w:t>
      </w:r>
      <w:r>
        <w:t>Added this option, to acknowledge the current practice by a few agencies.</w:t>
      </w:r>
    </w:p>
  </w:comment>
  <w:comment w:id="10" w:author="Author" w:initials="A">
    <w:p w14:paraId="3755B0DF" w14:textId="7C2E8C8E" w:rsidR="000D006F" w:rsidRDefault="000D006F" w:rsidP="006F161D">
      <w:pPr>
        <w:pStyle w:val="CommentText"/>
        <w:numPr>
          <w:ilvl w:val="0"/>
          <w:numId w:val="24"/>
        </w:numPr>
      </w:pPr>
      <w:r>
        <w:rPr>
          <w:rStyle w:val="CommentReference"/>
        </w:rPr>
        <w:annotationRef/>
      </w:r>
      <w:r w:rsidR="006F161D">
        <w:t xml:space="preserve"> </w:t>
      </w:r>
      <w:r>
        <w:t>Added to provide clarity regarding the announcement.</w:t>
      </w:r>
    </w:p>
  </w:comment>
  <w:comment w:id="11" w:author="Author" w:initials="A">
    <w:p w14:paraId="4D85D928" w14:textId="71E10271" w:rsidR="000D006F" w:rsidRDefault="000D006F" w:rsidP="006F161D">
      <w:pPr>
        <w:pStyle w:val="CommentText"/>
        <w:numPr>
          <w:ilvl w:val="0"/>
          <w:numId w:val="24"/>
        </w:numPr>
      </w:pPr>
      <w:r>
        <w:rPr>
          <w:rStyle w:val="CommentReference"/>
        </w:rPr>
        <w:annotationRef/>
      </w:r>
      <w:r w:rsidR="006F161D">
        <w:t xml:space="preserve"> </w:t>
      </w:r>
      <w:r>
        <w:t>Added these requirements, based on DES’ Internal</w:t>
      </w:r>
      <w:r w:rsidR="00C22015">
        <w:t xml:space="preserve"> Protest</w:t>
      </w:r>
      <w:r>
        <w:t xml:space="preserve"> Process.</w:t>
      </w:r>
    </w:p>
  </w:comment>
  <w:comment w:id="12" w:author="Author" w:initials="A">
    <w:p w14:paraId="6015DC09" w14:textId="27C6A3EE" w:rsidR="00FE7637" w:rsidRDefault="00FE7637" w:rsidP="006F161D">
      <w:pPr>
        <w:pStyle w:val="CommentText"/>
        <w:numPr>
          <w:ilvl w:val="0"/>
          <w:numId w:val="24"/>
        </w:numPr>
      </w:pPr>
      <w:r>
        <w:rPr>
          <w:rStyle w:val="CommentReference"/>
        </w:rPr>
        <w:annotationRef/>
      </w:r>
      <w:r w:rsidR="006F161D">
        <w:t xml:space="preserve"> </w:t>
      </w:r>
      <w:r>
        <w:t>Verifying with Sundae Delgado which procurement trainings include protest policy.  This will dictate this section and any additional requirements of the agency as a result of this update.</w:t>
      </w:r>
    </w:p>
  </w:comment>
  <w:comment w:id="14" w:author="Author" w:initials="A">
    <w:p w14:paraId="5FABA409" w14:textId="21DED715" w:rsidR="00C22015" w:rsidRDefault="000D006F" w:rsidP="006F161D">
      <w:pPr>
        <w:pStyle w:val="CommentText"/>
        <w:numPr>
          <w:ilvl w:val="0"/>
          <w:numId w:val="24"/>
        </w:numPr>
      </w:pPr>
      <w:r>
        <w:rPr>
          <w:rStyle w:val="CommentReference"/>
        </w:rPr>
        <w:annotationRef/>
      </w:r>
      <w:r w:rsidR="006F161D">
        <w:t xml:space="preserve"> </w:t>
      </w:r>
      <w:r w:rsidR="00C22015">
        <w:t>This is a new document that was created to provide clarity and consistency regarding the process of reviewing and decision of protests. The previous policy did not include an accompanying procedure document.</w:t>
      </w:r>
    </w:p>
    <w:p w14:paraId="3D101850" w14:textId="5AA74FC2" w:rsidR="000D006F" w:rsidRDefault="000D006F">
      <w:pPr>
        <w:pStyle w:val="CommentText"/>
      </w:pPr>
    </w:p>
  </w:comment>
  <w:comment w:id="15" w:author="Author" w:initials="A">
    <w:p w14:paraId="19BE221E" w14:textId="1336B8DD" w:rsidR="000D006F" w:rsidRDefault="000D006F" w:rsidP="006F161D">
      <w:pPr>
        <w:pStyle w:val="CommentText"/>
        <w:numPr>
          <w:ilvl w:val="0"/>
          <w:numId w:val="24"/>
        </w:numPr>
      </w:pPr>
      <w:r>
        <w:rPr>
          <w:rStyle w:val="CommentReference"/>
        </w:rPr>
        <w:annotationRef/>
      </w:r>
      <w:r w:rsidR="006F161D">
        <w:t xml:space="preserve"> </w:t>
      </w:r>
      <w:r w:rsidR="00C22015">
        <w:t>These are new documents that were created to provide consistency regarding the process of reviewing and decision making of protests.  The previous policy did not include any accompanying sample documents.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5E7BA1" w15:done="0"/>
  <w15:commentEx w15:paraId="6F7FA708" w15:done="0"/>
  <w15:commentEx w15:paraId="751113B5" w15:done="0"/>
  <w15:commentEx w15:paraId="5F3C0C3F" w15:done="0"/>
  <w15:commentEx w15:paraId="57646BBC" w15:done="0"/>
  <w15:commentEx w15:paraId="1AC6E6AC" w15:done="0"/>
  <w15:commentEx w15:paraId="339F21B3" w15:done="0"/>
  <w15:commentEx w15:paraId="250D1F32" w15:done="0"/>
  <w15:commentEx w15:paraId="50948E06" w15:done="0"/>
  <w15:commentEx w15:paraId="250C3E7C" w15:done="0"/>
  <w15:commentEx w15:paraId="3755B0DF" w15:done="0"/>
  <w15:commentEx w15:paraId="4D85D928" w15:done="0"/>
  <w15:commentEx w15:paraId="6015DC09" w15:done="0"/>
  <w15:commentEx w15:paraId="3D101850" w15:done="0"/>
  <w15:commentEx w15:paraId="19BE221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9381E" w14:textId="77777777" w:rsidR="001B3879" w:rsidRDefault="001B3879" w:rsidP="005A2388">
      <w:pPr>
        <w:spacing w:after="0" w:line="240" w:lineRule="auto"/>
      </w:pPr>
      <w:r>
        <w:separator/>
      </w:r>
    </w:p>
  </w:endnote>
  <w:endnote w:type="continuationSeparator" w:id="0">
    <w:p w14:paraId="2DCB2937" w14:textId="77777777" w:rsidR="001B3879" w:rsidRDefault="001B3879" w:rsidP="005A2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6A621" w14:textId="77777777" w:rsidR="00BF71C8" w:rsidRDefault="00BF7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B8CC6" w14:textId="77777777" w:rsidR="00BF71C8" w:rsidRDefault="00BF71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02BF1" w14:textId="77777777" w:rsidR="00BF71C8" w:rsidRDefault="00BF7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C4A5C" w14:textId="77777777" w:rsidR="001B3879" w:rsidRDefault="001B3879" w:rsidP="005A2388">
      <w:pPr>
        <w:spacing w:after="0" w:line="240" w:lineRule="auto"/>
      </w:pPr>
      <w:r>
        <w:separator/>
      </w:r>
    </w:p>
  </w:footnote>
  <w:footnote w:type="continuationSeparator" w:id="0">
    <w:p w14:paraId="53274F27" w14:textId="77777777" w:rsidR="001B3879" w:rsidRDefault="001B3879" w:rsidP="005A2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1700A" w14:textId="77777777" w:rsidR="00BF71C8" w:rsidRDefault="00BF7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627406"/>
      <w:docPartObj>
        <w:docPartGallery w:val="Watermarks"/>
        <w:docPartUnique/>
      </w:docPartObj>
    </w:sdtPr>
    <w:sdtEndPr/>
    <w:sdtContent>
      <w:p w14:paraId="39516849" w14:textId="6FD48D4F" w:rsidR="00BF71C8" w:rsidRDefault="001B3879">
        <w:pPr>
          <w:pStyle w:val="Header"/>
        </w:pPr>
        <w:r>
          <w:rPr>
            <w:noProof/>
          </w:rPr>
          <w:pict w14:anchorId="0209AA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AC94F" w14:textId="77777777" w:rsidR="00BF71C8" w:rsidRDefault="00BF7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2A69"/>
    <w:multiLevelType w:val="multilevel"/>
    <w:tmpl w:val="3190B41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285883"/>
    <w:multiLevelType w:val="hybridMultilevel"/>
    <w:tmpl w:val="C6CCF2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D64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AB1746"/>
    <w:multiLevelType w:val="hybridMultilevel"/>
    <w:tmpl w:val="1450B2D4"/>
    <w:lvl w:ilvl="0" w:tplc="A30A65FA">
      <w:start w:val="1"/>
      <w:numFmt w:val="lowerLetter"/>
      <w:lvlText w:val="%1."/>
      <w:lvlJc w:val="left"/>
      <w:pPr>
        <w:ind w:left="108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400CA"/>
    <w:multiLevelType w:val="hybridMultilevel"/>
    <w:tmpl w:val="03040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1E2D56"/>
    <w:multiLevelType w:val="hybridMultilevel"/>
    <w:tmpl w:val="62F6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84B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CCE4C8F"/>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1F9301D7"/>
    <w:multiLevelType w:val="hybridMultilevel"/>
    <w:tmpl w:val="A128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E4B"/>
    <w:multiLevelType w:val="hybridMultilevel"/>
    <w:tmpl w:val="AE80F85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DF514F"/>
    <w:multiLevelType w:val="hybridMultilevel"/>
    <w:tmpl w:val="384AF3F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46A550C"/>
    <w:multiLevelType w:val="hybridMultilevel"/>
    <w:tmpl w:val="695440F4"/>
    <w:lvl w:ilvl="0" w:tplc="5A642774">
      <w:start w:val="1"/>
      <w:numFmt w:val="decimal"/>
      <w:lvlText w:val="%1)"/>
      <w:lvlJc w:val="left"/>
      <w:pPr>
        <w:ind w:left="803" w:hanging="545"/>
      </w:pPr>
      <w:rPr>
        <w:rFonts w:ascii="Calibri" w:eastAsia="Times New Roman" w:hAnsi="Calibri" w:hint="default"/>
        <w:sz w:val="22"/>
        <w:szCs w:val="24"/>
      </w:rPr>
    </w:lvl>
    <w:lvl w:ilvl="1" w:tplc="B00A0398">
      <w:start w:val="1"/>
      <w:numFmt w:val="bullet"/>
      <w:lvlText w:val="•"/>
      <w:lvlJc w:val="left"/>
      <w:pPr>
        <w:ind w:left="1479" w:hanging="545"/>
      </w:pPr>
      <w:rPr>
        <w:rFonts w:hint="default"/>
      </w:rPr>
    </w:lvl>
    <w:lvl w:ilvl="2" w:tplc="51326ECC">
      <w:start w:val="1"/>
      <w:numFmt w:val="bullet"/>
      <w:lvlText w:val="•"/>
      <w:lvlJc w:val="left"/>
      <w:pPr>
        <w:ind w:left="2155" w:hanging="545"/>
      </w:pPr>
      <w:rPr>
        <w:rFonts w:hint="default"/>
      </w:rPr>
    </w:lvl>
    <w:lvl w:ilvl="3" w:tplc="0444258C">
      <w:start w:val="1"/>
      <w:numFmt w:val="bullet"/>
      <w:lvlText w:val="•"/>
      <w:lvlJc w:val="left"/>
      <w:pPr>
        <w:ind w:left="2831" w:hanging="545"/>
      </w:pPr>
      <w:rPr>
        <w:rFonts w:hint="default"/>
      </w:rPr>
    </w:lvl>
    <w:lvl w:ilvl="4" w:tplc="B978B264">
      <w:start w:val="1"/>
      <w:numFmt w:val="bullet"/>
      <w:lvlText w:val="•"/>
      <w:lvlJc w:val="left"/>
      <w:pPr>
        <w:ind w:left="3507" w:hanging="545"/>
      </w:pPr>
      <w:rPr>
        <w:rFonts w:hint="default"/>
      </w:rPr>
    </w:lvl>
    <w:lvl w:ilvl="5" w:tplc="578E42D6">
      <w:start w:val="1"/>
      <w:numFmt w:val="bullet"/>
      <w:lvlText w:val="•"/>
      <w:lvlJc w:val="left"/>
      <w:pPr>
        <w:ind w:left="4184" w:hanging="545"/>
      </w:pPr>
      <w:rPr>
        <w:rFonts w:hint="default"/>
      </w:rPr>
    </w:lvl>
    <w:lvl w:ilvl="6" w:tplc="8CE8141A">
      <w:start w:val="1"/>
      <w:numFmt w:val="bullet"/>
      <w:lvlText w:val="•"/>
      <w:lvlJc w:val="left"/>
      <w:pPr>
        <w:ind w:left="4860" w:hanging="545"/>
      </w:pPr>
      <w:rPr>
        <w:rFonts w:hint="default"/>
      </w:rPr>
    </w:lvl>
    <w:lvl w:ilvl="7" w:tplc="8E7459F0">
      <w:start w:val="1"/>
      <w:numFmt w:val="bullet"/>
      <w:lvlText w:val="•"/>
      <w:lvlJc w:val="left"/>
      <w:pPr>
        <w:ind w:left="5536" w:hanging="545"/>
      </w:pPr>
      <w:rPr>
        <w:rFonts w:hint="default"/>
      </w:rPr>
    </w:lvl>
    <w:lvl w:ilvl="8" w:tplc="E27C3828">
      <w:start w:val="1"/>
      <w:numFmt w:val="bullet"/>
      <w:lvlText w:val="•"/>
      <w:lvlJc w:val="left"/>
      <w:pPr>
        <w:ind w:left="6212" w:hanging="545"/>
      </w:pPr>
      <w:rPr>
        <w:rFonts w:hint="default"/>
      </w:rPr>
    </w:lvl>
  </w:abstractNum>
  <w:abstractNum w:abstractNumId="12" w15:restartNumberingAfterBreak="0">
    <w:nsid w:val="46C95049"/>
    <w:multiLevelType w:val="hybridMultilevel"/>
    <w:tmpl w:val="F9DAA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157988"/>
    <w:multiLevelType w:val="hybridMultilevel"/>
    <w:tmpl w:val="363278D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19E6D68"/>
    <w:multiLevelType w:val="hybridMultilevel"/>
    <w:tmpl w:val="DFDED5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8D298C"/>
    <w:multiLevelType w:val="hybridMultilevel"/>
    <w:tmpl w:val="1C52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202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3A45FD2"/>
    <w:multiLevelType w:val="hybridMultilevel"/>
    <w:tmpl w:val="4000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D301E6"/>
    <w:multiLevelType w:val="hybridMultilevel"/>
    <w:tmpl w:val="E848BD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E0F01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76E077E"/>
    <w:multiLevelType w:val="multilevel"/>
    <w:tmpl w:val="3190B41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CE241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E846206"/>
    <w:multiLevelType w:val="hybridMultilevel"/>
    <w:tmpl w:val="A47CD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A541D4"/>
    <w:multiLevelType w:val="hybridMultilevel"/>
    <w:tmpl w:val="5F2EE6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5"/>
  </w:num>
  <w:num w:numId="3">
    <w:abstractNumId w:val="9"/>
  </w:num>
  <w:num w:numId="4">
    <w:abstractNumId w:val="17"/>
  </w:num>
  <w:num w:numId="5">
    <w:abstractNumId w:val="2"/>
  </w:num>
  <w:num w:numId="6">
    <w:abstractNumId w:val="11"/>
  </w:num>
  <w:num w:numId="7">
    <w:abstractNumId w:val="5"/>
  </w:num>
  <w:num w:numId="8">
    <w:abstractNumId w:val="3"/>
  </w:num>
  <w:num w:numId="9">
    <w:abstractNumId w:val="18"/>
  </w:num>
  <w:num w:numId="10">
    <w:abstractNumId w:val="1"/>
  </w:num>
  <w:num w:numId="11">
    <w:abstractNumId w:val="14"/>
  </w:num>
  <w:num w:numId="12">
    <w:abstractNumId w:val="10"/>
  </w:num>
  <w:num w:numId="13">
    <w:abstractNumId w:val="13"/>
  </w:num>
  <w:num w:numId="14">
    <w:abstractNumId w:val="23"/>
  </w:num>
  <w:num w:numId="15">
    <w:abstractNumId w:val="4"/>
  </w:num>
  <w:num w:numId="16">
    <w:abstractNumId w:val="16"/>
  </w:num>
  <w:num w:numId="17">
    <w:abstractNumId w:val="7"/>
  </w:num>
  <w:num w:numId="18">
    <w:abstractNumId w:val="19"/>
  </w:num>
  <w:num w:numId="19">
    <w:abstractNumId w:val="20"/>
  </w:num>
  <w:num w:numId="20">
    <w:abstractNumId w:val="21"/>
  </w:num>
  <w:num w:numId="21">
    <w:abstractNumId w:val="0"/>
  </w:num>
  <w:num w:numId="22">
    <w:abstractNumId w:val="6"/>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E7"/>
    <w:rsid w:val="000042FB"/>
    <w:rsid w:val="0000731E"/>
    <w:rsid w:val="000073F8"/>
    <w:rsid w:val="00007A3D"/>
    <w:rsid w:val="000220A9"/>
    <w:rsid w:val="00025BF3"/>
    <w:rsid w:val="0002662C"/>
    <w:rsid w:val="00026EBF"/>
    <w:rsid w:val="00033A9F"/>
    <w:rsid w:val="0004106C"/>
    <w:rsid w:val="000649A0"/>
    <w:rsid w:val="00067344"/>
    <w:rsid w:val="000717C2"/>
    <w:rsid w:val="00080714"/>
    <w:rsid w:val="0008786C"/>
    <w:rsid w:val="00090844"/>
    <w:rsid w:val="00095EF9"/>
    <w:rsid w:val="000A00BA"/>
    <w:rsid w:val="000A1A6A"/>
    <w:rsid w:val="000A1A8A"/>
    <w:rsid w:val="000A7D2D"/>
    <w:rsid w:val="000B5F11"/>
    <w:rsid w:val="000B7F0C"/>
    <w:rsid w:val="000D006F"/>
    <w:rsid w:val="000D2C52"/>
    <w:rsid w:val="000D443F"/>
    <w:rsid w:val="000E1F27"/>
    <w:rsid w:val="000E6089"/>
    <w:rsid w:val="00104602"/>
    <w:rsid w:val="0012290E"/>
    <w:rsid w:val="001342B3"/>
    <w:rsid w:val="0014117B"/>
    <w:rsid w:val="00146D2C"/>
    <w:rsid w:val="00157A23"/>
    <w:rsid w:val="001713C7"/>
    <w:rsid w:val="0018253D"/>
    <w:rsid w:val="00192E4F"/>
    <w:rsid w:val="001B3879"/>
    <w:rsid w:val="001B741C"/>
    <w:rsid w:val="001C246E"/>
    <w:rsid w:val="001C2D6E"/>
    <w:rsid w:val="001C72E2"/>
    <w:rsid w:val="001D3F32"/>
    <w:rsid w:val="001D6607"/>
    <w:rsid w:val="001E5740"/>
    <w:rsid w:val="001E68EB"/>
    <w:rsid w:val="00200DA1"/>
    <w:rsid w:val="00225649"/>
    <w:rsid w:val="00225B77"/>
    <w:rsid w:val="00234B57"/>
    <w:rsid w:val="00241EDE"/>
    <w:rsid w:val="00252FD0"/>
    <w:rsid w:val="00266502"/>
    <w:rsid w:val="002679AE"/>
    <w:rsid w:val="00280BFC"/>
    <w:rsid w:val="0028130C"/>
    <w:rsid w:val="0028456C"/>
    <w:rsid w:val="00287694"/>
    <w:rsid w:val="00290BC7"/>
    <w:rsid w:val="002A412C"/>
    <w:rsid w:val="002A5498"/>
    <w:rsid w:val="002B0F44"/>
    <w:rsid w:val="002B1310"/>
    <w:rsid w:val="002B3D48"/>
    <w:rsid w:val="002B5FC2"/>
    <w:rsid w:val="002E618A"/>
    <w:rsid w:val="002F2A07"/>
    <w:rsid w:val="002F3837"/>
    <w:rsid w:val="002F6D59"/>
    <w:rsid w:val="00303048"/>
    <w:rsid w:val="003141E0"/>
    <w:rsid w:val="00317110"/>
    <w:rsid w:val="0032493C"/>
    <w:rsid w:val="003326B8"/>
    <w:rsid w:val="00333953"/>
    <w:rsid w:val="00340303"/>
    <w:rsid w:val="003611A3"/>
    <w:rsid w:val="0037052F"/>
    <w:rsid w:val="0037490C"/>
    <w:rsid w:val="00387DBC"/>
    <w:rsid w:val="00392334"/>
    <w:rsid w:val="00392C22"/>
    <w:rsid w:val="00394F5B"/>
    <w:rsid w:val="003B4E6D"/>
    <w:rsid w:val="003C18D3"/>
    <w:rsid w:val="003E2D1B"/>
    <w:rsid w:val="00404DAF"/>
    <w:rsid w:val="00413D59"/>
    <w:rsid w:val="00420396"/>
    <w:rsid w:val="00423930"/>
    <w:rsid w:val="00423A67"/>
    <w:rsid w:val="00423BBF"/>
    <w:rsid w:val="00423CB2"/>
    <w:rsid w:val="00440109"/>
    <w:rsid w:val="0046106F"/>
    <w:rsid w:val="0047020C"/>
    <w:rsid w:val="0048325F"/>
    <w:rsid w:val="00484421"/>
    <w:rsid w:val="00486563"/>
    <w:rsid w:val="00495D8E"/>
    <w:rsid w:val="004A04EE"/>
    <w:rsid w:val="004C0902"/>
    <w:rsid w:val="004C661E"/>
    <w:rsid w:val="004D75AB"/>
    <w:rsid w:val="004E2C39"/>
    <w:rsid w:val="004E667E"/>
    <w:rsid w:val="0051781F"/>
    <w:rsid w:val="0055154E"/>
    <w:rsid w:val="005644BF"/>
    <w:rsid w:val="00570568"/>
    <w:rsid w:val="005820AD"/>
    <w:rsid w:val="00597C8B"/>
    <w:rsid w:val="005A2388"/>
    <w:rsid w:val="005A251E"/>
    <w:rsid w:val="005A4AE1"/>
    <w:rsid w:val="005A6ADC"/>
    <w:rsid w:val="005C12CE"/>
    <w:rsid w:val="005D16B9"/>
    <w:rsid w:val="005E10A9"/>
    <w:rsid w:val="005E616F"/>
    <w:rsid w:val="00625432"/>
    <w:rsid w:val="00626A1E"/>
    <w:rsid w:val="00633EB2"/>
    <w:rsid w:val="006427CE"/>
    <w:rsid w:val="00646BEC"/>
    <w:rsid w:val="00651AB8"/>
    <w:rsid w:val="00661FEA"/>
    <w:rsid w:val="006620E7"/>
    <w:rsid w:val="00690364"/>
    <w:rsid w:val="006A557A"/>
    <w:rsid w:val="006A6DE2"/>
    <w:rsid w:val="006B706B"/>
    <w:rsid w:val="006D3C60"/>
    <w:rsid w:val="006D42A5"/>
    <w:rsid w:val="006E3A55"/>
    <w:rsid w:val="006F161D"/>
    <w:rsid w:val="006F398C"/>
    <w:rsid w:val="006F3AF8"/>
    <w:rsid w:val="006F4DC4"/>
    <w:rsid w:val="007047F3"/>
    <w:rsid w:val="00715DAB"/>
    <w:rsid w:val="007473FC"/>
    <w:rsid w:val="00753162"/>
    <w:rsid w:val="0075761B"/>
    <w:rsid w:val="0075788B"/>
    <w:rsid w:val="007710A9"/>
    <w:rsid w:val="007816A9"/>
    <w:rsid w:val="0078425D"/>
    <w:rsid w:val="00786EFD"/>
    <w:rsid w:val="007953E8"/>
    <w:rsid w:val="00796374"/>
    <w:rsid w:val="007B3EE4"/>
    <w:rsid w:val="007D287F"/>
    <w:rsid w:val="007E3CD3"/>
    <w:rsid w:val="007F79EC"/>
    <w:rsid w:val="0080372C"/>
    <w:rsid w:val="00807CD4"/>
    <w:rsid w:val="00821BE0"/>
    <w:rsid w:val="0083360E"/>
    <w:rsid w:val="00840FA0"/>
    <w:rsid w:val="00843069"/>
    <w:rsid w:val="00844769"/>
    <w:rsid w:val="00846696"/>
    <w:rsid w:val="00850B00"/>
    <w:rsid w:val="008600E0"/>
    <w:rsid w:val="0087040C"/>
    <w:rsid w:val="00877E2E"/>
    <w:rsid w:val="008854B0"/>
    <w:rsid w:val="00893701"/>
    <w:rsid w:val="008A59FC"/>
    <w:rsid w:val="008C671A"/>
    <w:rsid w:val="00903984"/>
    <w:rsid w:val="00906CF9"/>
    <w:rsid w:val="00924961"/>
    <w:rsid w:val="00925EB6"/>
    <w:rsid w:val="00932C56"/>
    <w:rsid w:val="0093695E"/>
    <w:rsid w:val="0094055C"/>
    <w:rsid w:val="009438F6"/>
    <w:rsid w:val="009779A4"/>
    <w:rsid w:val="00994DAA"/>
    <w:rsid w:val="009A4772"/>
    <w:rsid w:val="009C77DA"/>
    <w:rsid w:val="009C7F40"/>
    <w:rsid w:val="00A06595"/>
    <w:rsid w:val="00A1153A"/>
    <w:rsid w:val="00A341D4"/>
    <w:rsid w:val="00A37DA8"/>
    <w:rsid w:val="00A45F37"/>
    <w:rsid w:val="00A6041E"/>
    <w:rsid w:val="00A67137"/>
    <w:rsid w:val="00A767D8"/>
    <w:rsid w:val="00A76FE6"/>
    <w:rsid w:val="00A824FE"/>
    <w:rsid w:val="00AA1A5D"/>
    <w:rsid w:val="00AD34F1"/>
    <w:rsid w:val="00AD76DE"/>
    <w:rsid w:val="00AF46A5"/>
    <w:rsid w:val="00AF578D"/>
    <w:rsid w:val="00B02B67"/>
    <w:rsid w:val="00B05BA5"/>
    <w:rsid w:val="00B0711F"/>
    <w:rsid w:val="00B14CD0"/>
    <w:rsid w:val="00B14F9B"/>
    <w:rsid w:val="00B17253"/>
    <w:rsid w:val="00B30899"/>
    <w:rsid w:val="00B40A4F"/>
    <w:rsid w:val="00B419CE"/>
    <w:rsid w:val="00B44A68"/>
    <w:rsid w:val="00B44B6E"/>
    <w:rsid w:val="00B45274"/>
    <w:rsid w:val="00B60A9E"/>
    <w:rsid w:val="00B7420D"/>
    <w:rsid w:val="00B75D30"/>
    <w:rsid w:val="00B8508C"/>
    <w:rsid w:val="00B87CC9"/>
    <w:rsid w:val="00B90D23"/>
    <w:rsid w:val="00B92AD2"/>
    <w:rsid w:val="00BB2CD5"/>
    <w:rsid w:val="00BB6FD5"/>
    <w:rsid w:val="00BB7877"/>
    <w:rsid w:val="00BD273D"/>
    <w:rsid w:val="00BD7705"/>
    <w:rsid w:val="00BE2FD1"/>
    <w:rsid w:val="00BF0E69"/>
    <w:rsid w:val="00BF71C8"/>
    <w:rsid w:val="00C11BFD"/>
    <w:rsid w:val="00C12250"/>
    <w:rsid w:val="00C20E30"/>
    <w:rsid w:val="00C22015"/>
    <w:rsid w:val="00C25690"/>
    <w:rsid w:val="00C264CA"/>
    <w:rsid w:val="00C50324"/>
    <w:rsid w:val="00C50642"/>
    <w:rsid w:val="00C5172F"/>
    <w:rsid w:val="00C666A6"/>
    <w:rsid w:val="00CA480B"/>
    <w:rsid w:val="00CC0A41"/>
    <w:rsid w:val="00CC2443"/>
    <w:rsid w:val="00CE151F"/>
    <w:rsid w:val="00CE2C57"/>
    <w:rsid w:val="00CE6479"/>
    <w:rsid w:val="00CF4D47"/>
    <w:rsid w:val="00D0246A"/>
    <w:rsid w:val="00D065A6"/>
    <w:rsid w:val="00D06DAF"/>
    <w:rsid w:val="00D17F78"/>
    <w:rsid w:val="00D20400"/>
    <w:rsid w:val="00D24FD3"/>
    <w:rsid w:val="00D25F98"/>
    <w:rsid w:val="00D26137"/>
    <w:rsid w:val="00D5369D"/>
    <w:rsid w:val="00D674EB"/>
    <w:rsid w:val="00D84A30"/>
    <w:rsid w:val="00D96EA3"/>
    <w:rsid w:val="00DB0D42"/>
    <w:rsid w:val="00DC1E69"/>
    <w:rsid w:val="00DD5FA4"/>
    <w:rsid w:val="00DD6FB2"/>
    <w:rsid w:val="00DE0137"/>
    <w:rsid w:val="00E055FE"/>
    <w:rsid w:val="00E062DF"/>
    <w:rsid w:val="00E21A56"/>
    <w:rsid w:val="00E34057"/>
    <w:rsid w:val="00E378E3"/>
    <w:rsid w:val="00E50BC4"/>
    <w:rsid w:val="00E51986"/>
    <w:rsid w:val="00E53BB2"/>
    <w:rsid w:val="00E54934"/>
    <w:rsid w:val="00E60D09"/>
    <w:rsid w:val="00E60F65"/>
    <w:rsid w:val="00E61090"/>
    <w:rsid w:val="00E64CFC"/>
    <w:rsid w:val="00E743C5"/>
    <w:rsid w:val="00E752BD"/>
    <w:rsid w:val="00E777D1"/>
    <w:rsid w:val="00E82435"/>
    <w:rsid w:val="00E908CE"/>
    <w:rsid w:val="00E95B52"/>
    <w:rsid w:val="00EA30F0"/>
    <w:rsid w:val="00EB433F"/>
    <w:rsid w:val="00EB508F"/>
    <w:rsid w:val="00ED1C90"/>
    <w:rsid w:val="00ED2C02"/>
    <w:rsid w:val="00ED3880"/>
    <w:rsid w:val="00EE322E"/>
    <w:rsid w:val="00F01EB6"/>
    <w:rsid w:val="00F1207C"/>
    <w:rsid w:val="00F17859"/>
    <w:rsid w:val="00F23A3F"/>
    <w:rsid w:val="00F25A83"/>
    <w:rsid w:val="00F276A2"/>
    <w:rsid w:val="00F31BAF"/>
    <w:rsid w:val="00F350FD"/>
    <w:rsid w:val="00F35E2E"/>
    <w:rsid w:val="00F562C8"/>
    <w:rsid w:val="00F64F82"/>
    <w:rsid w:val="00F8472D"/>
    <w:rsid w:val="00F8711B"/>
    <w:rsid w:val="00F935E8"/>
    <w:rsid w:val="00FC4334"/>
    <w:rsid w:val="00FE6354"/>
    <w:rsid w:val="00FE7637"/>
    <w:rsid w:val="00FF5D26"/>
    <w:rsid w:val="00FF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7060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1"/>
    <w:qFormat/>
    <w:rsid w:val="00B17253"/>
  </w:style>
  <w:style w:type="paragraph" w:styleId="Heading1">
    <w:name w:val="heading 1"/>
    <w:basedOn w:val="Normal"/>
    <w:next w:val="Normal"/>
    <w:link w:val="Heading1Char"/>
    <w:uiPriority w:val="9"/>
    <w:qFormat/>
    <w:rsid w:val="002B0F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0E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E6479"/>
    <w:pPr>
      <w:numPr>
        <w:ilvl w:val="1"/>
      </w:numPr>
      <w:spacing w:after="120" w:line="240" w:lineRule="auto"/>
    </w:pPr>
    <w:rPr>
      <w:rFonts w:ascii="Georgia" w:eastAsiaTheme="majorEastAsia" w:hAnsi="Georgia" w:cstheme="majorBidi"/>
      <w:b/>
      <w:iCs/>
      <w:noProof/>
      <w:color w:val="1F4E79" w:themeColor="accent1" w:themeShade="80"/>
      <w:lang w:eastAsia="zh-TW" w:bidi="en-US"/>
    </w:rPr>
  </w:style>
  <w:style w:type="character" w:customStyle="1" w:styleId="SubtitleChar">
    <w:name w:val="Subtitle Char"/>
    <w:basedOn w:val="DefaultParagraphFont"/>
    <w:link w:val="Subtitle"/>
    <w:uiPriority w:val="11"/>
    <w:rsid w:val="00CE6479"/>
    <w:rPr>
      <w:rFonts w:ascii="Georgia" w:eastAsiaTheme="majorEastAsia" w:hAnsi="Georgia" w:cstheme="majorBidi"/>
      <w:b/>
      <w:iCs/>
      <w:noProof/>
      <w:color w:val="1F4E79" w:themeColor="accent1" w:themeShade="80"/>
      <w:lang w:eastAsia="zh-TW" w:bidi="en-US"/>
    </w:rPr>
  </w:style>
  <w:style w:type="character" w:styleId="Hyperlink">
    <w:name w:val="Hyperlink"/>
    <w:basedOn w:val="DefaultParagraphFont"/>
    <w:uiPriority w:val="99"/>
    <w:unhideWhenUsed/>
    <w:rsid w:val="00CE6479"/>
    <w:rPr>
      <w:color w:val="0563C1" w:themeColor="hyperlink"/>
      <w:u w:val="single"/>
    </w:rPr>
  </w:style>
  <w:style w:type="paragraph" w:customStyle="1" w:styleId="InfoBlock">
    <w:name w:val="Info Block"/>
    <w:basedOn w:val="Normal"/>
    <w:link w:val="InfoBlockChar"/>
    <w:qFormat/>
    <w:rsid w:val="00CE6479"/>
    <w:pPr>
      <w:spacing w:before="60" w:after="60" w:line="240" w:lineRule="auto"/>
    </w:pPr>
    <w:rPr>
      <w:rFonts w:ascii="Arial" w:hAnsi="Arial" w:cs="Arial"/>
      <w:sz w:val="20"/>
      <w:szCs w:val="20"/>
      <w:lang w:bidi="en-US"/>
    </w:rPr>
  </w:style>
  <w:style w:type="character" w:customStyle="1" w:styleId="InfoBlockChar">
    <w:name w:val="Info Block Char"/>
    <w:basedOn w:val="DefaultParagraphFont"/>
    <w:link w:val="InfoBlock"/>
    <w:rsid w:val="00CE6479"/>
    <w:rPr>
      <w:rFonts w:ascii="Arial" w:hAnsi="Arial" w:cs="Arial"/>
      <w:sz w:val="20"/>
      <w:szCs w:val="20"/>
      <w:lang w:bidi="en-US"/>
    </w:rPr>
  </w:style>
  <w:style w:type="table" w:styleId="TableGrid">
    <w:name w:val="Table Grid"/>
    <w:basedOn w:val="TableNormal"/>
    <w:uiPriority w:val="59"/>
    <w:rsid w:val="00CE6479"/>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2B0F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0F4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B0F4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F0E69"/>
    <w:rPr>
      <w:rFonts w:asciiTheme="majorHAnsi" w:eastAsiaTheme="majorEastAsia" w:hAnsiTheme="majorHAnsi" w:cstheme="majorBidi"/>
      <w:color w:val="2E74B5" w:themeColor="accent1" w:themeShade="BF"/>
      <w:sz w:val="26"/>
      <w:szCs w:val="26"/>
    </w:rPr>
  </w:style>
  <w:style w:type="paragraph" w:styleId="NoSpacing">
    <w:name w:val="No Spacing"/>
    <w:aliases w:val="Normal 3,DES-No Spacing"/>
    <w:link w:val="NoSpacingChar"/>
    <w:uiPriority w:val="1"/>
    <w:qFormat/>
    <w:rsid w:val="00F935E8"/>
    <w:pPr>
      <w:spacing w:after="0" w:line="240" w:lineRule="auto"/>
    </w:pPr>
    <w:rPr>
      <w:rFonts w:ascii="Arial" w:hAnsi="Arial" w:cs="Arial"/>
      <w:sz w:val="20"/>
      <w:szCs w:val="20"/>
      <w:lang w:bidi="en-US"/>
    </w:rPr>
  </w:style>
  <w:style w:type="paragraph" w:styleId="ListParagraph">
    <w:name w:val="List Paragraph"/>
    <w:basedOn w:val="Normal"/>
    <w:uiPriority w:val="1"/>
    <w:qFormat/>
    <w:rsid w:val="00F935E8"/>
    <w:pPr>
      <w:ind w:left="720"/>
      <w:contextualSpacing/>
    </w:pPr>
  </w:style>
  <w:style w:type="paragraph" w:styleId="NormalWeb">
    <w:name w:val="Normal (Web)"/>
    <w:basedOn w:val="Normal"/>
    <w:uiPriority w:val="99"/>
    <w:semiHidden/>
    <w:unhideWhenUsed/>
    <w:rsid w:val="005E616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2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388"/>
  </w:style>
  <w:style w:type="paragraph" w:styleId="Footer">
    <w:name w:val="footer"/>
    <w:basedOn w:val="Normal"/>
    <w:link w:val="FooterChar"/>
    <w:uiPriority w:val="99"/>
    <w:unhideWhenUsed/>
    <w:rsid w:val="005A2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388"/>
  </w:style>
  <w:style w:type="paragraph" w:styleId="BalloonText">
    <w:name w:val="Balloon Text"/>
    <w:basedOn w:val="Normal"/>
    <w:link w:val="BalloonTextChar"/>
    <w:uiPriority w:val="99"/>
    <w:semiHidden/>
    <w:unhideWhenUsed/>
    <w:rsid w:val="00625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432"/>
    <w:rPr>
      <w:rFonts w:ascii="Segoe UI" w:hAnsi="Segoe UI" w:cs="Segoe UI"/>
      <w:sz w:val="18"/>
      <w:szCs w:val="18"/>
    </w:rPr>
  </w:style>
  <w:style w:type="character" w:styleId="FollowedHyperlink">
    <w:name w:val="FollowedHyperlink"/>
    <w:basedOn w:val="DefaultParagraphFont"/>
    <w:uiPriority w:val="99"/>
    <w:semiHidden/>
    <w:unhideWhenUsed/>
    <w:rsid w:val="008A59FC"/>
    <w:rPr>
      <w:color w:val="954F72" w:themeColor="followedHyperlink"/>
      <w:u w:val="single"/>
    </w:rPr>
  </w:style>
  <w:style w:type="paragraph" w:customStyle="1" w:styleId="Normal2">
    <w:name w:val="Normal2"/>
    <w:basedOn w:val="Normal"/>
    <w:link w:val="Normal2Char"/>
    <w:qFormat/>
    <w:rsid w:val="00C666A6"/>
    <w:pPr>
      <w:ind w:left="360"/>
    </w:pPr>
  </w:style>
  <w:style w:type="character" w:customStyle="1" w:styleId="Normal2Char">
    <w:name w:val="Normal2 Char"/>
    <w:basedOn w:val="DefaultParagraphFont"/>
    <w:link w:val="Normal2"/>
    <w:rsid w:val="00C666A6"/>
  </w:style>
  <w:style w:type="character" w:customStyle="1" w:styleId="NoSpacingChar">
    <w:name w:val="No Spacing Char"/>
    <w:aliases w:val="Normal 3 Char,DES-No Spacing Char"/>
    <w:basedOn w:val="DefaultParagraphFont"/>
    <w:link w:val="NoSpacing"/>
    <w:uiPriority w:val="1"/>
    <w:locked/>
    <w:rsid w:val="004E667E"/>
    <w:rPr>
      <w:rFonts w:ascii="Arial" w:hAnsi="Arial" w:cs="Arial"/>
      <w:sz w:val="20"/>
      <w:szCs w:val="20"/>
      <w:lang w:bidi="en-US"/>
    </w:rPr>
  </w:style>
  <w:style w:type="paragraph" w:customStyle="1" w:styleId="TableParagraph">
    <w:name w:val="Table Paragraph"/>
    <w:basedOn w:val="Normal"/>
    <w:uiPriority w:val="1"/>
    <w:qFormat/>
    <w:rsid w:val="004E667E"/>
    <w:pPr>
      <w:widowControl w:val="0"/>
      <w:spacing w:after="0" w:line="240" w:lineRule="auto"/>
    </w:pPr>
  </w:style>
  <w:style w:type="character" w:styleId="CommentReference">
    <w:name w:val="annotation reference"/>
    <w:basedOn w:val="DefaultParagraphFont"/>
    <w:uiPriority w:val="99"/>
    <w:semiHidden/>
    <w:unhideWhenUsed/>
    <w:rsid w:val="00C20E30"/>
    <w:rPr>
      <w:sz w:val="16"/>
      <w:szCs w:val="16"/>
    </w:rPr>
  </w:style>
  <w:style w:type="paragraph" w:styleId="CommentText">
    <w:name w:val="annotation text"/>
    <w:basedOn w:val="Normal"/>
    <w:link w:val="CommentTextChar"/>
    <w:uiPriority w:val="99"/>
    <w:unhideWhenUsed/>
    <w:rsid w:val="00C20E30"/>
    <w:pPr>
      <w:spacing w:line="240" w:lineRule="auto"/>
    </w:pPr>
    <w:rPr>
      <w:sz w:val="20"/>
      <w:szCs w:val="20"/>
    </w:rPr>
  </w:style>
  <w:style w:type="character" w:customStyle="1" w:styleId="CommentTextChar">
    <w:name w:val="Comment Text Char"/>
    <w:basedOn w:val="DefaultParagraphFont"/>
    <w:link w:val="CommentText"/>
    <w:uiPriority w:val="99"/>
    <w:rsid w:val="00C20E30"/>
    <w:rPr>
      <w:sz w:val="20"/>
      <w:szCs w:val="20"/>
    </w:rPr>
  </w:style>
  <w:style w:type="paragraph" w:styleId="CommentSubject">
    <w:name w:val="annotation subject"/>
    <w:basedOn w:val="CommentText"/>
    <w:next w:val="CommentText"/>
    <w:link w:val="CommentSubjectChar"/>
    <w:uiPriority w:val="99"/>
    <w:semiHidden/>
    <w:unhideWhenUsed/>
    <w:rsid w:val="00C20E30"/>
    <w:rPr>
      <w:b/>
      <w:bCs/>
    </w:rPr>
  </w:style>
  <w:style w:type="character" w:customStyle="1" w:styleId="CommentSubjectChar">
    <w:name w:val="Comment Subject Char"/>
    <w:basedOn w:val="CommentTextChar"/>
    <w:link w:val="CommentSubject"/>
    <w:uiPriority w:val="99"/>
    <w:semiHidden/>
    <w:rsid w:val="00C20E30"/>
    <w:rPr>
      <w:b/>
      <w:bCs/>
      <w:sz w:val="20"/>
      <w:szCs w:val="20"/>
    </w:rPr>
  </w:style>
  <w:style w:type="paragraph" w:styleId="Revision">
    <w:name w:val="Revision"/>
    <w:hidden/>
    <w:uiPriority w:val="99"/>
    <w:semiHidden/>
    <w:rsid w:val="0080372C"/>
    <w:pPr>
      <w:spacing w:after="0" w:line="240" w:lineRule="auto"/>
    </w:pPr>
  </w:style>
  <w:style w:type="paragraph" w:customStyle="1" w:styleId="ReferenceTopLine">
    <w:name w:val="ReferenceTopLine"/>
    <w:basedOn w:val="Normal"/>
    <w:link w:val="ReferenceTopLineChar"/>
    <w:autoRedefine/>
    <w:qFormat/>
    <w:rsid w:val="00633EB2"/>
    <w:pPr>
      <w:pBdr>
        <w:top w:val="single" w:sz="12" w:space="1" w:color="1F3864" w:themeColor="accent5" w:themeShade="80"/>
      </w:pBdr>
      <w:spacing w:before="160" w:after="60" w:line="240" w:lineRule="auto"/>
    </w:pPr>
    <w:rPr>
      <w:b/>
      <w:color w:val="1F3864" w:themeColor="accent5" w:themeShade="80"/>
    </w:rPr>
  </w:style>
  <w:style w:type="character" w:customStyle="1" w:styleId="ReferenceTopLineChar">
    <w:name w:val="ReferenceTopLine Char"/>
    <w:basedOn w:val="DefaultParagraphFont"/>
    <w:link w:val="ReferenceTopLine"/>
    <w:rsid w:val="00633EB2"/>
    <w:rPr>
      <w:b/>
      <w:color w:val="1F3864" w:themeColor="accent5" w:themeShade="80"/>
    </w:rPr>
  </w:style>
  <w:style w:type="paragraph" w:customStyle="1" w:styleId="Default">
    <w:name w:val="Default"/>
    <w:rsid w:val="00633EB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ferenceBottomLine">
    <w:name w:val="ReferenceBottomLine"/>
    <w:basedOn w:val="ReferenceTopLine"/>
    <w:link w:val="ReferenceBottomLineChar"/>
    <w:autoRedefine/>
    <w:qFormat/>
    <w:rsid w:val="006F4DC4"/>
    <w:pPr>
      <w:pBdr>
        <w:top w:val="none" w:sz="0" w:space="0" w:color="auto"/>
        <w:bottom w:val="single" w:sz="12" w:space="5" w:color="1F3864" w:themeColor="accent5" w:themeShade="80"/>
      </w:pBdr>
      <w:spacing w:before="0" w:after="0" w:line="276" w:lineRule="auto"/>
      <w:ind w:left="2088" w:right="450" w:hanging="2088"/>
    </w:pPr>
  </w:style>
  <w:style w:type="character" w:customStyle="1" w:styleId="ReferenceBottomLineChar">
    <w:name w:val="ReferenceBottomLine Char"/>
    <w:basedOn w:val="ReferenceTopLineChar"/>
    <w:link w:val="ReferenceBottomLine"/>
    <w:rsid w:val="006F4DC4"/>
    <w:rPr>
      <w:b/>
      <w:color w:val="1F3864" w:themeColor="accent5"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645110">
      <w:bodyDiv w:val="1"/>
      <w:marLeft w:val="0"/>
      <w:marRight w:val="0"/>
      <w:marTop w:val="0"/>
      <w:marBottom w:val="0"/>
      <w:divBdr>
        <w:top w:val="none" w:sz="0" w:space="0" w:color="auto"/>
        <w:left w:val="none" w:sz="0" w:space="0" w:color="auto"/>
        <w:bottom w:val="none" w:sz="0" w:space="0" w:color="auto"/>
        <w:right w:val="none" w:sz="0" w:space="0" w:color="auto"/>
      </w:divBdr>
    </w:div>
    <w:div w:id="1484351332">
      <w:bodyDiv w:val="1"/>
      <w:marLeft w:val="0"/>
      <w:marRight w:val="0"/>
      <w:marTop w:val="0"/>
      <w:marBottom w:val="0"/>
      <w:divBdr>
        <w:top w:val="none" w:sz="0" w:space="0" w:color="auto"/>
        <w:left w:val="none" w:sz="0" w:space="0" w:color="auto"/>
        <w:bottom w:val="none" w:sz="0" w:space="0" w:color="auto"/>
        <w:right w:val="none" w:sz="0" w:space="0" w:color="auto"/>
      </w:divBdr>
    </w:div>
    <w:div w:id="1642420230">
      <w:bodyDiv w:val="1"/>
      <w:marLeft w:val="0"/>
      <w:marRight w:val="0"/>
      <w:marTop w:val="0"/>
      <w:marBottom w:val="0"/>
      <w:divBdr>
        <w:top w:val="none" w:sz="0" w:space="0" w:color="auto"/>
        <w:left w:val="none" w:sz="0" w:space="0" w:color="auto"/>
        <w:bottom w:val="none" w:sz="0" w:space="0" w:color="auto"/>
        <w:right w:val="none" w:sz="0" w:space="0" w:color="auto"/>
      </w:divBdr>
    </w:div>
    <w:div w:id="1750617593">
      <w:bodyDiv w:val="1"/>
      <w:marLeft w:val="0"/>
      <w:marRight w:val="0"/>
      <w:marTop w:val="0"/>
      <w:marBottom w:val="0"/>
      <w:divBdr>
        <w:top w:val="none" w:sz="0" w:space="0" w:color="auto"/>
        <w:left w:val="none" w:sz="0" w:space="0" w:color="auto"/>
        <w:bottom w:val="none" w:sz="0" w:space="0" w:color="auto"/>
        <w:right w:val="none" w:sz="0" w:space="0" w:color="auto"/>
      </w:divBdr>
    </w:div>
    <w:div w:id="2125539332">
      <w:bodyDiv w:val="1"/>
      <w:marLeft w:val="0"/>
      <w:marRight w:val="0"/>
      <w:marTop w:val="0"/>
      <w:marBottom w:val="0"/>
      <w:divBdr>
        <w:top w:val="none" w:sz="0" w:space="0" w:color="auto"/>
        <w:left w:val="none" w:sz="0" w:space="0" w:color="auto"/>
        <w:bottom w:val="none" w:sz="0" w:space="0" w:color="auto"/>
        <w:right w:val="none" w:sz="0" w:space="0" w:color="auto"/>
      </w:divBdr>
      <w:divsChild>
        <w:div w:id="1517111591">
          <w:marLeft w:val="0"/>
          <w:marRight w:val="0"/>
          <w:marTop w:val="0"/>
          <w:marBottom w:val="0"/>
          <w:divBdr>
            <w:top w:val="none" w:sz="0" w:space="0" w:color="auto"/>
            <w:left w:val="none" w:sz="0" w:space="0" w:color="auto"/>
            <w:bottom w:val="none" w:sz="0" w:space="0" w:color="auto"/>
            <w:right w:val="none" w:sz="0" w:space="0" w:color="auto"/>
          </w:divBdr>
          <w:divsChild>
            <w:div w:id="17316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tg.wa.gov/obtaining-record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app.leg.wa.gov/RCW/default.aspx?cite=39.26.17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des.wa.lcl\doc\CPRM\Enterprise-Policy\Miscellaneous%20Policy%20Team%20Folders\Policy%20&amp;%20Protest%20Manager%20Files\Protests\Protest%20Process%20Improvement\Sample%20Protest%20Response%20Letter%20DRAFT%2011-6-19.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leg.wa.gov/RCW/default.aspx?cite=28B.10.01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es.wa.lcl\doc\CPRM\Enterprise-Policy\Miscellaneous%20Policy%20Team%20Folders\Policy%20&amp;%20Protest%20Manager%20Files\Protests\Protest%20Process%20Improvement\Sample%20Protest%20Review%20and%20Conclusion%20DRAFT%2011-6-19.docx" TargetMode="External"/><Relationship Id="rId23"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des.wa.gov/services/contracting-purchasing/policies-training/contracts-procurement-training-developmen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7CF20-8E4C-40CF-9F23-EB2FD4747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2020-06-11T15:50:00Z</dcterms:created>
  <dcterms:modified xsi:type="dcterms:W3CDTF">2020-06-11T22:35:00Z</dcterms:modified>
</cp:coreProperties>
</file>