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046EE" w14:textId="77777777" w:rsidR="00397CED" w:rsidRDefault="004664C5">
      <w:pPr>
        <w:spacing w:before="57"/>
        <w:ind w:left="140"/>
        <w:rPr>
          <w:b/>
        </w:rPr>
      </w:pPr>
      <w:commentRangeStart w:id="0"/>
      <w:r>
        <w:rPr>
          <w:b/>
          <w:color w:val="1F4E79"/>
        </w:rPr>
        <w:t>Enterprise Services Procedure No. PRO-DES-</w:t>
      </w:r>
      <w:r w:rsidR="009B6D3A">
        <w:rPr>
          <w:b/>
          <w:color w:val="1F4E79"/>
        </w:rPr>
        <w:t>21</w:t>
      </w:r>
      <w:r w:rsidR="001667D7">
        <w:rPr>
          <w:b/>
          <w:color w:val="1F4E79"/>
        </w:rPr>
        <w:t>0-01</w:t>
      </w:r>
      <w:commentRangeEnd w:id="0"/>
      <w:r w:rsidR="0009304F">
        <w:rPr>
          <w:rStyle w:val="CommentReference"/>
        </w:rPr>
        <w:commentReference w:id="0"/>
      </w:r>
    </w:p>
    <w:p w14:paraId="42B13470" w14:textId="239FA455" w:rsidR="004C1AAB" w:rsidRDefault="004C1AAB" w:rsidP="004C1AAB">
      <w:pPr>
        <w:ind w:left="140"/>
        <w:rPr>
          <w:rFonts w:ascii="Calibri Light"/>
          <w:color w:val="1F3863"/>
          <w:sz w:val="56"/>
        </w:rPr>
      </w:pPr>
      <w:r>
        <w:rPr>
          <w:noProof/>
          <w:lang w:bidi="ar-SA"/>
        </w:rPr>
        <mc:AlternateContent>
          <mc:Choice Requires="wps">
            <w:drawing>
              <wp:inline distT="0" distB="0" distL="0" distR="0" wp14:anchorId="3E702878" wp14:editId="6FCD6A65">
                <wp:extent cx="6400800" cy="1263"/>
                <wp:effectExtent l="0" t="0" r="19050" b="18415"/>
                <wp:docPr id="15" name="Freeform 15"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63"/>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1A86EBE" id="Freeform 15" o:spid="_x0000_s1026" alt="Title: Border - Description: This is a boarder used to frame the policy." style="width:7in;height:.1pt;visibility:visible;mso-wrap-style:square;mso-left-percent:-10001;mso-top-percent:-10001;mso-position-horizontal:absolute;mso-position-horizontal-relative:char;mso-position-vertical:absolute;mso-position-vertical-relative:line;mso-left-percent:-10001;mso-top-percent:-10001;v-text-anchor:top" coordsize="1013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" path="m,l10138,e" filled="f" strokeweight=".48pt">
                <v:path arrowok="t" o:connecttype="custom" o:connectlocs="0,0;6400800,0" o:connectangles="0,0"/>
                <w10:anchorlock/>
              </v:shape>
            </w:pict>
          </mc:Fallback>
        </mc:AlternateContent>
      </w:r>
      <w:r w:rsidR="001667D7">
        <w:rPr>
          <w:rFonts w:ascii="Calibri Light"/>
          <w:color w:val="1F3863"/>
          <w:sz w:val="56"/>
        </w:rPr>
        <w:t>Agency Contract Reporting</w:t>
      </w:r>
      <w:r w:rsidR="004664C5">
        <w:rPr>
          <w:rFonts w:ascii="Calibri Light"/>
          <w:color w:val="1F3863"/>
          <w:sz w:val="56"/>
        </w:rPr>
        <w:t xml:space="preserve"> Procedure</w:t>
      </w:r>
    </w:p>
    <w:p w14:paraId="38DF608C" w14:textId="19F9EA56" w:rsidR="00397CED" w:rsidRPr="004C1AAB" w:rsidRDefault="004C1AAB" w:rsidP="004C1AAB">
      <w:pPr>
        <w:ind w:left="140"/>
        <w:rPr>
          <w:rFonts w:ascii="Calibri Light"/>
          <w:sz w:val="56"/>
        </w:rPr>
      </w:pPr>
      <w:r>
        <w:rPr>
          <w:b/>
        </w:rPr>
        <w:t xml:space="preserve">Applies </w:t>
      </w:r>
      <w:r w:rsidR="004664C5">
        <w:rPr>
          <w:b/>
        </w:rPr>
        <w:t>to</w:t>
      </w:r>
      <w:r w:rsidR="004664C5">
        <w:t xml:space="preserve">: </w:t>
      </w:r>
      <w:r w:rsidR="001667D7" w:rsidRPr="001667D7">
        <w:t>Any state office or activity of the executive branch of state government, including state agencies, departments, offices, divisions, boards, commissions, institutions of higher education as defined in RCW 28B.10.016 and correctional and other type</w:t>
      </w:r>
      <w:r w:rsidR="001667D7">
        <w:t xml:space="preserve">s of institutions </w:t>
      </w:r>
      <w:r w:rsidR="004664C5">
        <w:t>in accordance with DES revised Policy #POL-DES-</w:t>
      </w:r>
      <w:r w:rsidR="002F4E13">
        <w:t>21</w:t>
      </w:r>
      <w:r w:rsidR="001667D7">
        <w:t>0</w:t>
      </w:r>
      <w:r w:rsidR="004664C5">
        <w:t>-0</w:t>
      </w:r>
      <w:r w:rsidR="001667D7">
        <w:t>1</w:t>
      </w:r>
      <w:r w:rsidR="004664C5">
        <w:t>.</w:t>
      </w:r>
    </w:p>
    <w:p w14:paraId="2954F4EE" w14:textId="2B346E48" w:rsidR="00397CED" w:rsidRDefault="004664C5">
      <w:pPr>
        <w:ind w:left="139"/>
      </w:pPr>
      <w:r>
        <w:rPr>
          <w:b/>
        </w:rPr>
        <w:t>Effective date</w:t>
      </w:r>
      <w:r>
        <w:t xml:space="preserve">: </w:t>
      </w:r>
      <w:r w:rsidR="0009304F">
        <w:t>TBD</w:t>
      </w:r>
    </w:p>
    <w:p w14:paraId="3B451DD0" w14:textId="733843B0" w:rsidR="00397CED" w:rsidRPr="001667D7" w:rsidRDefault="001667D7">
      <w:pPr>
        <w:spacing w:before="82"/>
        <w:ind w:left="139"/>
      </w:pPr>
      <w:r>
        <w:rPr>
          <w:b/>
        </w:rPr>
        <w:t>Last update</w:t>
      </w:r>
      <w:r>
        <w:t>:</w:t>
      </w:r>
      <w:r>
        <w:rPr>
          <w:b/>
        </w:rPr>
        <w:t xml:space="preserve"> </w:t>
      </w:r>
      <w:r w:rsidR="00C464E5" w:rsidRPr="00C464E5">
        <w:t>N/A</w:t>
      </w:r>
    </w:p>
    <w:p w14:paraId="659575C0" w14:textId="77777777" w:rsidR="00397CED" w:rsidRDefault="004664C5">
      <w:pPr>
        <w:spacing w:before="79"/>
        <w:ind w:left="139"/>
        <w:rPr>
          <w:rFonts w:ascii="Arial"/>
          <w:sz w:val="20"/>
        </w:rPr>
      </w:pPr>
      <w:r>
        <w:rPr>
          <w:b/>
        </w:rPr>
        <w:t>Sunset review</w:t>
      </w:r>
      <w:r w:rsidR="002F4E13" w:rsidRPr="002F4E13">
        <w:t>:</w:t>
      </w:r>
      <w:r>
        <w:rPr>
          <w:b/>
        </w:rPr>
        <w:t xml:space="preserve"> </w:t>
      </w:r>
      <w:r w:rsidRPr="002F4E13">
        <w:rPr>
          <w:rFonts w:ascii="Arial"/>
          <w:sz w:val="20"/>
          <w:highlight w:val="yellow"/>
        </w:rPr>
        <w:t>{</w:t>
      </w:r>
      <w:r w:rsidRPr="002F4E13">
        <w:rPr>
          <w:rFonts w:ascii="Arial"/>
          <w:i/>
          <w:sz w:val="20"/>
          <w:highlight w:val="yellow"/>
        </w:rPr>
        <w:t>5 years from effective date</w:t>
      </w:r>
      <w:r w:rsidRPr="002F4E13">
        <w:rPr>
          <w:rFonts w:ascii="Arial"/>
          <w:sz w:val="20"/>
          <w:highlight w:val="yellow"/>
        </w:rPr>
        <w:t>}</w:t>
      </w:r>
    </w:p>
    <w:p w14:paraId="31D321A4" w14:textId="367786A0" w:rsidR="00397CED" w:rsidRDefault="004C1AAB">
      <w:pPr>
        <w:pStyle w:val="BodyText"/>
        <w:spacing w:before="7"/>
        <w:rPr>
          <w:rFonts w:ascii="Arial"/>
          <w:sz w:val="32"/>
        </w:rPr>
      </w:pPr>
      <w:r>
        <w:rPr>
          <w:noProof/>
          <w:lang w:bidi="ar-SA"/>
        </w:rPr>
        <mc:AlternateContent>
          <mc:Choice Requires="wps">
            <w:drawing>
              <wp:inline distT="0" distB="0" distL="0" distR="0" wp14:anchorId="22746B30" wp14:editId="6740D9B7">
                <wp:extent cx="6400800" cy="1263"/>
                <wp:effectExtent l="0" t="0" r="19050" b="18415"/>
                <wp:docPr id="5" name="Freeform 5"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63"/>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223CA8A" id="Freeform 5" o:spid="_x0000_s1026" alt="Title: Border - Description: This is a boarder used to frame the policy." style="width:7in;height:.1pt;visibility:visible;mso-wrap-style:square;mso-left-percent:-10001;mso-top-percent:-10001;mso-position-horizontal:absolute;mso-position-horizontal-relative:char;mso-position-vertical:absolute;mso-position-vertical-relative:line;mso-left-percent:-10001;mso-top-percent:-10001;v-text-anchor:top" coordsize="1013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" path="m,l10138,e" filled="f" strokeweight=".48pt">
                <v:path arrowok="t" o:connecttype="custom" o:connectlocs="0,0;6400800,0" o:connectangles="0,0"/>
                <w10:anchorlock/>
              </v:shape>
            </w:pict>
          </mc:Fallback>
        </mc:AlternateContent>
      </w:r>
    </w:p>
    <w:p w14:paraId="40CD77B2" w14:textId="3329395C" w:rsidR="00574B41" w:rsidRDefault="001667D7" w:rsidP="00574B41">
      <w:pPr>
        <w:pStyle w:val="Heading1"/>
      </w:pPr>
      <w:r>
        <w:t>REPORT</w:t>
      </w:r>
      <w:r w:rsidR="0086199D">
        <w:t>ING GOODS AND SERVICES CONTRACT</w:t>
      </w:r>
    </w:p>
    <w:tbl>
      <w:tblPr>
        <w:tblStyle w:val="TableGrid"/>
        <w:tblpPr w:leftFromText="180" w:rightFromText="180" w:vertAnchor="page" w:horzAnchor="margin" w:tblpY="5776"/>
        <w:tblW w:w="0" w:type="auto"/>
        <w:tblBorders>
          <w:top w:val="dashSmallGap" w:sz="4" w:space="0" w:color="595959" w:themeColor="text1" w:themeTint="A6"/>
          <w:left w:val="dashSmallGap" w:sz="4" w:space="0" w:color="595959" w:themeColor="text1" w:themeTint="A6"/>
          <w:bottom w:val="dashSmallGap" w:sz="4" w:space="0" w:color="595959" w:themeColor="text1" w:themeTint="A6"/>
          <w:right w:val="dashSmallGap" w:sz="4" w:space="0" w:color="595959" w:themeColor="text1" w:themeTint="A6"/>
          <w:insideH w:val="dashSmallGap" w:sz="4" w:space="0" w:color="595959" w:themeColor="text1" w:themeTint="A6"/>
          <w:insideV w:val="dashSmallGap" w:sz="4" w:space="0" w:color="595959" w:themeColor="text1" w:themeTint="A6"/>
        </w:tblBorders>
        <w:tblLook w:val="04A0" w:firstRow="1" w:lastRow="0" w:firstColumn="1" w:lastColumn="0" w:noHBand="0" w:noVBand="1"/>
        <w:tblCaption w:val="Summary of Tasks"/>
      </w:tblPr>
      <w:tblGrid>
        <w:gridCol w:w="2340"/>
        <w:gridCol w:w="7010"/>
      </w:tblGrid>
      <w:tr w:rsidR="00DF2309" w:rsidRPr="00DF2309" w14:paraId="3CD5CD3F" w14:textId="77777777" w:rsidTr="00DF2309">
        <w:trPr>
          <w:cantSplit/>
          <w:tblHeader/>
        </w:trPr>
        <w:tc>
          <w:tcPr>
            <w:tcW w:w="2340" w:type="dxa"/>
          </w:tcPr>
          <w:p w14:paraId="6CB3123F" w14:textId="77777777" w:rsidR="00DF2309" w:rsidRPr="00DF2309" w:rsidRDefault="00DF2309" w:rsidP="00DF2309">
            <w:pPr>
              <w:pStyle w:val="BodyText"/>
              <w:rPr>
                <w:b/>
              </w:rPr>
            </w:pPr>
            <w:r w:rsidRPr="00DF2309">
              <w:rPr>
                <w:b/>
              </w:rPr>
              <w:t>Action By</w:t>
            </w:r>
          </w:p>
        </w:tc>
        <w:tc>
          <w:tcPr>
            <w:tcW w:w="7010" w:type="dxa"/>
          </w:tcPr>
          <w:p w14:paraId="2CCFD973" w14:textId="77777777" w:rsidR="00DF2309" w:rsidRPr="00DF2309" w:rsidRDefault="00DF2309" w:rsidP="00DF2309">
            <w:pPr>
              <w:pStyle w:val="BodyText"/>
              <w:rPr>
                <w:b/>
              </w:rPr>
            </w:pPr>
            <w:commentRangeStart w:id="1"/>
            <w:r w:rsidRPr="00DF2309">
              <w:rPr>
                <w:b/>
              </w:rPr>
              <w:t>Action</w:t>
            </w:r>
            <w:commentRangeEnd w:id="1"/>
            <w:r w:rsidR="00A63448">
              <w:rPr>
                <w:rStyle w:val="CommentReference"/>
              </w:rPr>
              <w:commentReference w:id="1"/>
            </w:r>
          </w:p>
        </w:tc>
      </w:tr>
      <w:tr w:rsidR="00DF2309" w:rsidRPr="00DF2309" w14:paraId="42F36555" w14:textId="77777777" w:rsidTr="00DF2309">
        <w:trPr>
          <w:cantSplit/>
        </w:trPr>
        <w:tc>
          <w:tcPr>
            <w:tcW w:w="2340" w:type="dxa"/>
          </w:tcPr>
          <w:p w14:paraId="712FB3C3" w14:textId="77777777" w:rsidR="00DF2309" w:rsidRPr="00DF2309" w:rsidRDefault="00DF2309" w:rsidP="00DF2309">
            <w:pPr>
              <w:pStyle w:val="BodyText"/>
              <w:rPr>
                <w:i/>
              </w:rPr>
            </w:pPr>
            <w:r w:rsidRPr="00DF2309">
              <w:t>Agency Staff</w:t>
            </w:r>
          </w:p>
        </w:tc>
        <w:tc>
          <w:tcPr>
            <w:tcW w:w="7010" w:type="dxa"/>
          </w:tcPr>
          <w:p w14:paraId="61057146" w14:textId="74D2F60A" w:rsidR="00DF2309" w:rsidRPr="00DF2309" w:rsidRDefault="00DF2309" w:rsidP="0026169F">
            <w:pPr>
              <w:pStyle w:val="BodyText"/>
              <w:widowControl w:val="0"/>
              <w:numPr>
                <w:ilvl w:val="0"/>
                <w:numId w:val="15"/>
              </w:numPr>
              <w:autoSpaceDE w:val="0"/>
              <w:autoSpaceDN w:val="0"/>
            </w:pPr>
            <w:r w:rsidRPr="00DF2309">
              <w:t>Collects a list of all contracts and amendments that were in effect between</w:t>
            </w:r>
            <w:r w:rsidR="0026169F">
              <w:t xml:space="preserve"> </w:t>
            </w:r>
            <w:r w:rsidR="0026169F" w:rsidRPr="00DF2309">
              <w:t>July 1 and June 30 for the reporting year from Agency systems and records</w:t>
            </w:r>
            <w:r w:rsidR="0026169F">
              <w:t>.</w:t>
            </w:r>
            <w:r w:rsidRPr="00DF2309">
              <w:t xml:space="preserve"> </w:t>
            </w:r>
          </w:p>
          <w:p w14:paraId="28D782EB" w14:textId="77777777" w:rsidR="00DF2309" w:rsidRPr="00DF2309" w:rsidRDefault="00DF2309" w:rsidP="00DF2309">
            <w:pPr>
              <w:pStyle w:val="BodyText"/>
              <w:widowControl w:val="0"/>
              <w:numPr>
                <w:ilvl w:val="0"/>
                <w:numId w:val="15"/>
              </w:numPr>
              <w:autoSpaceDE w:val="0"/>
              <w:autoSpaceDN w:val="0"/>
            </w:pPr>
            <w:r w:rsidRPr="00DF2309">
              <w:t xml:space="preserve">Compiles data into the </w:t>
            </w:r>
            <w:commentRangeStart w:id="2"/>
            <w:r w:rsidR="00CF621A">
              <w:fldChar w:fldCharType="begin"/>
            </w:r>
            <w:r w:rsidR="00CF621A">
              <w:instrText xml:space="preserve"> HYPERLINK "https://des.wa.gov/sites/default/files/public/documents/ContractingPurchasing/AgencyKReporting/AgencyContractReportingTemplate.xlsx" </w:instrText>
            </w:r>
            <w:r w:rsidR="00CF621A">
              <w:fldChar w:fldCharType="separate"/>
            </w:r>
            <w:r w:rsidRPr="00DF2309">
              <w:rPr>
                <w:rStyle w:val="Hyperlink"/>
              </w:rPr>
              <w:t>Agency Contract Reporting Template</w:t>
            </w:r>
            <w:r w:rsidR="00CF621A">
              <w:rPr>
                <w:rStyle w:val="Hyperlink"/>
              </w:rPr>
              <w:fldChar w:fldCharType="end"/>
            </w:r>
            <w:r w:rsidRPr="00DF2309">
              <w:t>.</w:t>
            </w:r>
            <w:commentRangeEnd w:id="2"/>
            <w:r w:rsidR="00A63448">
              <w:rPr>
                <w:rStyle w:val="CommentReference"/>
              </w:rPr>
              <w:commentReference w:id="2"/>
            </w:r>
          </w:p>
          <w:p w14:paraId="6EC627D7" w14:textId="77777777" w:rsidR="00DF2309" w:rsidRPr="00DF2309" w:rsidRDefault="00DF2309" w:rsidP="00DF2309">
            <w:pPr>
              <w:pStyle w:val="BodyText"/>
              <w:widowControl w:val="0"/>
              <w:autoSpaceDE w:val="0"/>
              <w:autoSpaceDN w:val="0"/>
            </w:pPr>
          </w:p>
        </w:tc>
      </w:tr>
      <w:tr w:rsidR="00DF2309" w:rsidRPr="00DF2309" w14:paraId="0627E1CF" w14:textId="77777777" w:rsidTr="00DF2309">
        <w:trPr>
          <w:cantSplit/>
        </w:trPr>
        <w:tc>
          <w:tcPr>
            <w:tcW w:w="2340" w:type="dxa"/>
          </w:tcPr>
          <w:p w14:paraId="27852059" w14:textId="77777777" w:rsidR="00DF2309" w:rsidRPr="00DF2309" w:rsidRDefault="00DF2309" w:rsidP="00DF2309">
            <w:pPr>
              <w:pStyle w:val="BodyText"/>
            </w:pPr>
          </w:p>
        </w:tc>
        <w:tc>
          <w:tcPr>
            <w:tcW w:w="7010" w:type="dxa"/>
          </w:tcPr>
          <w:p w14:paraId="3A525941" w14:textId="77777777" w:rsidR="00DF2309" w:rsidRPr="0071226E" w:rsidRDefault="00DF2309" w:rsidP="00DF2309">
            <w:pPr>
              <w:ind w:right="106"/>
              <w:jc w:val="both"/>
              <w:rPr>
                <w:rFonts w:cstheme="minorHAnsi"/>
                <w:b/>
              </w:rPr>
            </w:pPr>
            <w:commentRangeStart w:id="3"/>
            <w:r w:rsidRPr="0071226E">
              <w:rPr>
                <w:rFonts w:cstheme="minorHAnsi"/>
                <w:b/>
              </w:rPr>
              <w:t>Required Data Fields:</w:t>
            </w:r>
            <w:commentRangeEnd w:id="3"/>
            <w:r w:rsidR="0009304F">
              <w:rPr>
                <w:rStyle w:val="CommentReference"/>
              </w:rPr>
              <w:commentReference w:id="3"/>
            </w:r>
          </w:p>
          <w:p w14:paraId="0436E8B6" w14:textId="77777777" w:rsidR="0071226E" w:rsidRPr="0071226E" w:rsidRDefault="00871A1A" w:rsidP="00DF2309">
            <w:pPr>
              <w:numPr>
                <w:ilvl w:val="0"/>
                <w:numId w:val="19"/>
              </w:numPr>
              <w:rPr>
                <w:rFonts w:cstheme="minorHAnsi"/>
              </w:rPr>
            </w:pPr>
            <w:r w:rsidRPr="0071226E">
              <w:rPr>
                <w:rFonts w:cstheme="minorHAnsi"/>
                <w:u w:val="single"/>
              </w:rPr>
              <w:t>Contracting Agency</w:t>
            </w:r>
            <w:r w:rsidRPr="0071226E">
              <w:rPr>
                <w:rFonts w:cstheme="minorHAnsi"/>
              </w:rPr>
              <w:t>: The name of the state agency that is a party to the contract.</w:t>
            </w:r>
          </w:p>
          <w:p w14:paraId="498A3647" w14:textId="77777777" w:rsidR="0071226E" w:rsidRPr="0071226E" w:rsidRDefault="00871A1A" w:rsidP="00DF2309">
            <w:pPr>
              <w:numPr>
                <w:ilvl w:val="0"/>
                <w:numId w:val="19"/>
              </w:numPr>
              <w:rPr>
                <w:rFonts w:cstheme="minorHAnsi"/>
              </w:rPr>
            </w:pPr>
            <w:r w:rsidRPr="0071226E">
              <w:rPr>
                <w:rFonts w:cstheme="minorHAnsi"/>
                <w:u w:val="single"/>
              </w:rPr>
              <w:t>Contractor name</w:t>
            </w:r>
            <w:r w:rsidRPr="0071226E">
              <w:rPr>
                <w:rFonts w:cstheme="minorHAnsi"/>
              </w:rPr>
              <w:t>: The name of the contractor as it appears in the contract document, who is the party to the contract.</w:t>
            </w:r>
          </w:p>
          <w:p w14:paraId="5651296B" w14:textId="77777777" w:rsidR="0071226E" w:rsidRPr="0071226E" w:rsidRDefault="00871A1A" w:rsidP="00DF2309">
            <w:pPr>
              <w:numPr>
                <w:ilvl w:val="0"/>
                <w:numId w:val="19"/>
              </w:numPr>
              <w:rPr>
                <w:rFonts w:cstheme="minorHAnsi"/>
              </w:rPr>
            </w:pPr>
            <w:r w:rsidRPr="0071226E">
              <w:rPr>
                <w:rFonts w:cstheme="minorHAnsi"/>
                <w:u w:val="single"/>
              </w:rPr>
              <w:t>Purpose of the contract</w:t>
            </w:r>
            <w:r w:rsidRPr="0071226E">
              <w:rPr>
                <w:rFonts w:cstheme="minorHAnsi"/>
              </w:rPr>
              <w:t>: The subject matter of the contract; the goods or</w:t>
            </w:r>
            <w:r w:rsidRPr="0071226E">
              <w:t xml:space="preserve"> </w:t>
            </w:r>
            <w:r w:rsidRPr="0071226E">
              <w:rPr>
                <w:rFonts w:cstheme="minorHAnsi"/>
              </w:rPr>
              <w:t>services that the agency is procuring.</w:t>
            </w:r>
            <w:r w:rsidRPr="0071226E">
              <w:t xml:space="preserve"> </w:t>
            </w:r>
            <w:r w:rsidRPr="0071226E">
              <w:rPr>
                <w:rFonts w:cstheme="minorHAnsi"/>
              </w:rPr>
              <w:t>The field will provide a list of categories with the ability to include an expanded description. If the contract includes multiple categories of goods and services, choose the category which accounts for the highest amount of expenditure.</w:t>
            </w:r>
          </w:p>
          <w:p w14:paraId="02AECFBB" w14:textId="77777777" w:rsidR="0071226E" w:rsidRPr="0071226E" w:rsidRDefault="00871A1A" w:rsidP="00DF2309">
            <w:pPr>
              <w:numPr>
                <w:ilvl w:val="0"/>
                <w:numId w:val="19"/>
              </w:numPr>
              <w:rPr>
                <w:rFonts w:cstheme="minorHAnsi"/>
              </w:rPr>
            </w:pPr>
            <w:r w:rsidRPr="0071226E">
              <w:rPr>
                <w:rFonts w:cstheme="minorHAnsi"/>
                <w:u w:val="single"/>
              </w:rPr>
              <w:t>Effective dates</w:t>
            </w:r>
            <w:r w:rsidRPr="0071226E">
              <w:rPr>
                <w:rFonts w:cstheme="minorHAnsi"/>
              </w:rPr>
              <w:t>: The date the contract becomes effective, not when work actually began. The ending date will be the date upon which no further work may be conducted under the contract or the date the contract term ends or expires.</w:t>
            </w:r>
          </w:p>
          <w:p w14:paraId="0763F4F4" w14:textId="77777777" w:rsidR="0071226E" w:rsidRPr="0071226E" w:rsidRDefault="00871A1A" w:rsidP="00DF2309">
            <w:pPr>
              <w:numPr>
                <w:ilvl w:val="0"/>
                <w:numId w:val="19"/>
              </w:numPr>
              <w:rPr>
                <w:rFonts w:cstheme="minorHAnsi"/>
              </w:rPr>
            </w:pPr>
            <w:r w:rsidRPr="0071226E">
              <w:rPr>
                <w:rFonts w:cstheme="minorHAnsi"/>
                <w:u w:val="single"/>
              </w:rPr>
              <w:t>Period of Performance</w:t>
            </w:r>
            <w:r w:rsidRPr="0071226E">
              <w:rPr>
                <w:rFonts w:cstheme="minorHAnsi"/>
              </w:rPr>
              <w:t>: The time frame in which the work is to occur or when the commodity must be delivered. The period of performance should always begin on or after the contract effective date and end on or prior to the contract expiration date.</w:t>
            </w:r>
          </w:p>
          <w:p w14:paraId="20B8FB14" w14:textId="77777777" w:rsidR="00DF2309" w:rsidRPr="0071226E" w:rsidRDefault="00DF2309" w:rsidP="00DF2309">
            <w:pPr>
              <w:numPr>
                <w:ilvl w:val="0"/>
                <w:numId w:val="19"/>
              </w:numPr>
              <w:ind w:right="106"/>
              <w:jc w:val="both"/>
              <w:rPr>
                <w:rFonts w:cstheme="minorHAnsi"/>
              </w:rPr>
            </w:pPr>
            <w:r w:rsidRPr="0071226E">
              <w:rPr>
                <w:rFonts w:cstheme="minorHAnsi"/>
                <w:u w:val="single"/>
              </w:rPr>
              <w:t>Cost of the contract</w:t>
            </w:r>
            <w:r w:rsidRPr="0071226E">
              <w:rPr>
                <w:rFonts w:cstheme="minorHAnsi"/>
              </w:rPr>
              <w:t xml:space="preserve">: Total actual or estimated contract cost. The cost of a contract may differ depending on the contract type. For a commodity contract, the cost of the contract is the cost of the commodity purchased, excluding taxes. If the contract is a services contract, the cost is either the estimated cost of the services, the not to exceed cost </w:t>
            </w:r>
            <w:r w:rsidRPr="0071226E">
              <w:rPr>
                <w:rFonts w:cstheme="minorHAnsi"/>
              </w:rPr>
              <w:lastRenderedPageBreak/>
              <w:t>listed</w:t>
            </w:r>
            <w:r w:rsidRPr="0071226E">
              <w:rPr>
                <w:rFonts w:ascii="Arial" w:hAnsi="Arial" w:cs="Arial"/>
                <w:sz w:val="20"/>
                <w:szCs w:val="20"/>
              </w:rPr>
              <w:t xml:space="preserve"> </w:t>
            </w:r>
            <w:r w:rsidRPr="0071226E">
              <w:rPr>
                <w:rFonts w:cstheme="minorHAnsi"/>
              </w:rPr>
              <w:t>in the contract or the actual amount paid under the contract.</w:t>
            </w:r>
          </w:p>
          <w:p w14:paraId="7384EED7" w14:textId="77777777" w:rsidR="00DF2309" w:rsidRPr="0071226E" w:rsidRDefault="00DF2309" w:rsidP="00DF2309">
            <w:pPr>
              <w:numPr>
                <w:ilvl w:val="0"/>
                <w:numId w:val="19"/>
              </w:numPr>
              <w:ind w:right="106"/>
              <w:jc w:val="both"/>
              <w:rPr>
                <w:rFonts w:cstheme="minorHAnsi"/>
              </w:rPr>
            </w:pPr>
            <w:r w:rsidRPr="0071226E">
              <w:rPr>
                <w:rFonts w:cstheme="minorHAnsi"/>
                <w:u w:val="single"/>
              </w:rPr>
              <w:t>Explanation of Costs (optional)</w:t>
            </w:r>
            <w:r w:rsidRPr="0071226E">
              <w:rPr>
                <w:rFonts w:cstheme="minorHAnsi"/>
              </w:rPr>
              <w:t>: The agency has the option to include whether the contract amount is the estimated cost, not to exceed cost, or the actual amount paid for each contract.</w:t>
            </w:r>
          </w:p>
          <w:p w14:paraId="4DCBB517" w14:textId="77777777" w:rsidR="00DF2309" w:rsidRPr="0071226E" w:rsidRDefault="00DF2309" w:rsidP="00DF2309">
            <w:pPr>
              <w:numPr>
                <w:ilvl w:val="0"/>
                <w:numId w:val="19"/>
              </w:numPr>
              <w:ind w:right="106"/>
              <w:jc w:val="both"/>
              <w:rPr>
                <w:rFonts w:cstheme="minorHAnsi"/>
              </w:rPr>
            </w:pPr>
            <w:r w:rsidRPr="0071226E">
              <w:rPr>
                <w:rFonts w:cstheme="minorHAnsi"/>
                <w:u w:val="single"/>
              </w:rPr>
              <w:t>Funding source</w:t>
            </w:r>
            <w:r w:rsidRPr="0071226E">
              <w:rPr>
                <w:rFonts w:cstheme="minorHAnsi"/>
              </w:rPr>
              <w:t>: The funding source is the category of funds used for the contract. The funding source is either state funds, federal funds or private grant funds. For contracts that have more than one funding source, the agency will report the most dominant funding source.</w:t>
            </w:r>
          </w:p>
          <w:p w14:paraId="1AEF02B5" w14:textId="77777777" w:rsidR="00DF2309" w:rsidRPr="0071226E" w:rsidRDefault="00DF2309" w:rsidP="00DF2309">
            <w:pPr>
              <w:numPr>
                <w:ilvl w:val="0"/>
                <w:numId w:val="19"/>
              </w:numPr>
              <w:ind w:right="106"/>
              <w:jc w:val="both"/>
              <w:rPr>
                <w:rFonts w:cstheme="minorHAnsi"/>
              </w:rPr>
            </w:pPr>
            <w:commentRangeStart w:id="4"/>
            <w:r w:rsidRPr="0071226E">
              <w:rPr>
                <w:rFonts w:cstheme="minorHAnsi"/>
                <w:u w:val="single"/>
              </w:rPr>
              <w:t>Contract Modifications</w:t>
            </w:r>
            <w:r w:rsidRPr="0071226E">
              <w:rPr>
                <w:rFonts w:cstheme="minorHAnsi"/>
              </w:rPr>
              <w:t xml:space="preserve">: </w:t>
            </w:r>
            <w:commentRangeEnd w:id="4"/>
            <w:r w:rsidR="0009304F">
              <w:rPr>
                <w:rStyle w:val="CommentReference"/>
              </w:rPr>
              <w:commentReference w:id="4"/>
            </w:r>
            <w:r w:rsidRPr="0071226E">
              <w:rPr>
                <w:rFonts w:cstheme="minorHAnsi"/>
              </w:rPr>
              <w:t>Contract modifications are substantive changes made to an original contract. A substantive change is one that modifies the cost, scope or period of performance of the original contract.</w:t>
            </w:r>
          </w:p>
          <w:p w14:paraId="5E479AF1" w14:textId="77777777" w:rsidR="00DF2309" w:rsidRPr="0071226E" w:rsidRDefault="00DF2309" w:rsidP="00DF2309">
            <w:pPr>
              <w:numPr>
                <w:ilvl w:val="0"/>
                <w:numId w:val="19"/>
              </w:numPr>
              <w:ind w:right="106"/>
              <w:jc w:val="both"/>
              <w:rPr>
                <w:rFonts w:cstheme="minorHAnsi"/>
              </w:rPr>
            </w:pPr>
            <w:commentRangeStart w:id="5"/>
            <w:r w:rsidRPr="0071226E">
              <w:rPr>
                <w:rFonts w:cstheme="minorHAnsi"/>
                <w:u w:val="single"/>
              </w:rPr>
              <w:t>Procurement Type</w:t>
            </w:r>
            <w:r w:rsidRPr="0071226E">
              <w:rPr>
                <w:rFonts w:cstheme="minorHAnsi"/>
              </w:rPr>
              <w:t xml:space="preserve">: </w:t>
            </w:r>
            <w:commentRangeEnd w:id="5"/>
            <w:r w:rsidR="0009304F">
              <w:rPr>
                <w:rStyle w:val="CommentReference"/>
              </w:rPr>
              <w:commentReference w:id="5"/>
            </w:r>
            <w:r w:rsidRPr="0071226E">
              <w:rPr>
                <w:rFonts w:cstheme="minorHAnsi"/>
              </w:rPr>
              <w:t>A contract is awarded by either a competitive process or a noncompetitive process. Noncompetitive processes include qualified master contracts, authorized convenience contracts, approved sole source contracts, contracts that are exempt from sole source filing requirements, emergency contracts, and direct buy contracts. A competitive process is one where more than one vendor is provided the opportunity to compete for the contract award.</w:t>
            </w:r>
          </w:p>
          <w:p w14:paraId="7C0FEA6F" w14:textId="77777777" w:rsidR="00DF2309" w:rsidRPr="0071226E" w:rsidRDefault="00DF2309" w:rsidP="00DF2309">
            <w:pPr>
              <w:numPr>
                <w:ilvl w:val="1"/>
                <w:numId w:val="19"/>
              </w:numPr>
              <w:ind w:right="106"/>
              <w:jc w:val="both"/>
              <w:rPr>
                <w:rFonts w:cstheme="minorHAnsi"/>
              </w:rPr>
            </w:pPr>
            <w:commentRangeStart w:id="6"/>
            <w:r w:rsidRPr="0071226E">
              <w:rPr>
                <w:rFonts w:cstheme="minorHAnsi"/>
              </w:rPr>
              <w:t>“Qualified master contracts”</w:t>
            </w:r>
            <w:commentRangeEnd w:id="6"/>
            <w:r w:rsidR="004E1672">
              <w:rPr>
                <w:rStyle w:val="CommentReference"/>
              </w:rPr>
              <w:commentReference w:id="6"/>
            </w:r>
            <w:r w:rsidRPr="0071226E">
              <w:rPr>
                <w:rFonts w:cstheme="minorHAnsi"/>
              </w:rPr>
              <w:t xml:space="preserve"> means:</w:t>
            </w:r>
          </w:p>
          <w:p w14:paraId="09A1B131" w14:textId="4B13ED22" w:rsidR="00DF2309" w:rsidRDefault="00DF2309" w:rsidP="00574B41">
            <w:pPr>
              <w:numPr>
                <w:ilvl w:val="2"/>
                <w:numId w:val="19"/>
              </w:numPr>
              <w:ind w:left="2500" w:right="106"/>
              <w:jc w:val="both"/>
              <w:rPr>
                <w:rFonts w:cstheme="minorHAnsi"/>
              </w:rPr>
            </w:pPr>
            <w:r w:rsidRPr="0071226E">
              <w:rPr>
                <w:rFonts w:cstheme="minorHAnsi"/>
              </w:rPr>
              <w:t>DES Master Contracts; and</w:t>
            </w:r>
          </w:p>
          <w:p w14:paraId="1B176ADC" w14:textId="77777777" w:rsidR="00DF2309" w:rsidRDefault="00DF2309" w:rsidP="00574B41">
            <w:pPr>
              <w:numPr>
                <w:ilvl w:val="2"/>
                <w:numId w:val="19"/>
              </w:numPr>
              <w:ind w:left="2500" w:right="106"/>
              <w:jc w:val="both"/>
              <w:rPr>
                <w:rFonts w:cstheme="minorHAnsi"/>
              </w:rPr>
            </w:pPr>
            <w:r w:rsidRPr="0071226E">
              <w:rPr>
                <w:rFonts w:cstheme="minorHAnsi"/>
              </w:rPr>
              <w:t>DES approved cooperative contracts that conform</w:t>
            </w:r>
            <w:bookmarkStart w:id="7" w:name="_GoBack"/>
            <w:bookmarkEnd w:id="7"/>
            <w:r w:rsidRPr="0071226E">
              <w:rPr>
                <w:rFonts w:cstheme="minorHAnsi"/>
              </w:rPr>
              <w:t xml:space="preserve"> to all applicable Washington State procurement laws, rules, policies and trade agreements.</w:t>
            </w:r>
          </w:p>
          <w:p w14:paraId="3936CB74" w14:textId="4AB7C215" w:rsidR="00DF2309" w:rsidRPr="00DF2309" w:rsidRDefault="0000429C" w:rsidP="0000429C">
            <w:pPr>
              <w:pStyle w:val="BodyText"/>
              <w:numPr>
                <w:ilvl w:val="0"/>
                <w:numId w:val="19"/>
              </w:numPr>
            </w:pPr>
            <w:commentRangeStart w:id="8"/>
            <w:r w:rsidRPr="0000429C">
              <w:rPr>
                <w:u w:val="single"/>
              </w:rPr>
              <w:t>Small Business Status</w:t>
            </w:r>
            <w:commentRangeEnd w:id="8"/>
            <w:r w:rsidR="0009304F">
              <w:rPr>
                <w:rStyle w:val="CommentReference"/>
              </w:rPr>
              <w:commentReference w:id="8"/>
            </w:r>
            <w:r>
              <w:t>: The Contractor’s status as a small business as identified in the Washington Electronic Business Solution (WEBS) system.</w:t>
            </w:r>
          </w:p>
        </w:tc>
      </w:tr>
      <w:tr w:rsidR="00DF2309" w:rsidRPr="00DF2309" w14:paraId="2F68ED4C" w14:textId="77777777" w:rsidTr="00DF2309">
        <w:trPr>
          <w:cantSplit/>
        </w:trPr>
        <w:tc>
          <w:tcPr>
            <w:tcW w:w="2340" w:type="dxa"/>
          </w:tcPr>
          <w:p w14:paraId="630C1F59" w14:textId="77777777" w:rsidR="00DF2309" w:rsidRPr="00DF2309" w:rsidRDefault="00DF2309" w:rsidP="00DF2309">
            <w:pPr>
              <w:pStyle w:val="BodyText"/>
            </w:pPr>
          </w:p>
        </w:tc>
        <w:tc>
          <w:tcPr>
            <w:tcW w:w="7010" w:type="dxa"/>
          </w:tcPr>
          <w:p w14:paraId="2FE4BEF6" w14:textId="77777777" w:rsidR="00DF2309" w:rsidRPr="0026169F" w:rsidRDefault="00DF2309" w:rsidP="00DF2309">
            <w:pPr>
              <w:ind w:right="106"/>
              <w:jc w:val="both"/>
              <w:rPr>
                <w:rFonts w:cstheme="minorHAnsi"/>
                <w:b/>
              </w:rPr>
            </w:pPr>
            <w:commentRangeStart w:id="9"/>
            <w:r w:rsidRPr="0026169F">
              <w:rPr>
                <w:rFonts w:cstheme="minorHAnsi"/>
                <w:b/>
              </w:rPr>
              <w:t>Agencies are not required to report:</w:t>
            </w:r>
            <w:commentRangeEnd w:id="9"/>
            <w:r w:rsidR="00AA6044">
              <w:rPr>
                <w:rStyle w:val="CommentReference"/>
              </w:rPr>
              <w:commentReference w:id="9"/>
            </w:r>
          </w:p>
          <w:p w14:paraId="757EAA79" w14:textId="77777777" w:rsidR="00DF2309" w:rsidRPr="0026169F" w:rsidRDefault="005E1D0A" w:rsidP="0026169F">
            <w:pPr>
              <w:widowControl w:val="0"/>
              <w:numPr>
                <w:ilvl w:val="0"/>
                <w:numId w:val="17"/>
              </w:numPr>
              <w:autoSpaceDE w:val="0"/>
              <w:autoSpaceDN w:val="0"/>
              <w:ind w:left="880" w:right="106"/>
              <w:jc w:val="both"/>
              <w:rPr>
                <w:rFonts w:cstheme="minorHAnsi"/>
                <w:b/>
              </w:rPr>
            </w:pPr>
            <w:r w:rsidRPr="0026169F">
              <w:rPr>
                <w:rFonts w:cstheme="minorHAnsi"/>
                <w:szCs w:val="20"/>
              </w:rPr>
              <w:t>Purchase orders or Field</w:t>
            </w:r>
            <w:r w:rsidRPr="0026169F">
              <w:rPr>
                <w:rFonts w:cstheme="minorHAnsi"/>
                <w:spacing w:val="1"/>
                <w:szCs w:val="20"/>
              </w:rPr>
              <w:t xml:space="preserve"> </w:t>
            </w:r>
            <w:r w:rsidRPr="0026169F">
              <w:rPr>
                <w:rFonts w:cstheme="minorHAnsi"/>
                <w:szCs w:val="20"/>
              </w:rPr>
              <w:t xml:space="preserve">orders. </w:t>
            </w:r>
          </w:p>
          <w:p w14:paraId="175ECC43" w14:textId="25163FF4" w:rsidR="00DF2309" w:rsidRPr="0026169F" w:rsidRDefault="00AA6044" w:rsidP="0026169F">
            <w:pPr>
              <w:widowControl w:val="0"/>
              <w:numPr>
                <w:ilvl w:val="0"/>
                <w:numId w:val="17"/>
              </w:numPr>
              <w:autoSpaceDE w:val="0"/>
              <w:autoSpaceDN w:val="0"/>
              <w:ind w:left="880" w:right="106"/>
              <w:jc w:val="both"/>
              <w:rPr>
                <w:rFonts w:cstheme="minorHAnsi"/>
                <w:b/>
              </w:rPr>
            </w:pPr>
            <w:commentRangeStart w:id="10"/>
            <w:r>
              <w:rPr>
                <w:rFonts w:cstheme="minorHAnsi"/>
                <w:szCs w:val="20"/>
              </w:rPr>
              <w:t xml:space="preserve">Direct Buy purchases </w:t>
            </w:r>
            <w:r w:rsidR="005E1D0A" w:rsidRPr="0026169F">
              <w:rPr>
                <w:rFonts w:cstheme="minorHAnsi"/>
                <w:szCs w:val="20"/>
              </w:rPr>
              <w:t>that</w:t>
            </w:r>
            <w:r>
              <w:rPr>
                <w:rFonts w:cstheme="minorHAnsi"/>
                <w:szCs w:val="20"/>
              </w:rPr>
              <w:t xml:space="preserve"> do not</w:t>
            </w:r>
            <w:r w:rsidR="005E1D0A" w:rsidRPr="0026169F">
              <w:rPr>
                <w:rFonts w:cstheme="minorHAnsi"/>
                <w:szCs w:val="20"/>
              </w:rPr>
              <w:t xml:space="preserve"> include a statement of work.</w:t>
            </w:r>
            <w:commentRangeEnd w:id="10"/>
            <w:r>
              <w:rPr>
                <w:rStyle w:val="CommentReference"/>
              </w:rPr>
              <w:commentReference w:id="10"/>
            </w:r>
          </w:p>
          <w:p w14:paraId="2ACED3D3" w14:textId="77777777" w:rsidR="00DF2309" w:rsidRPr="0026169F" w:rsidRDefault="00DF2309" w:rsidP="0026169F">
            <w:pPr>
              <w:widowControl w:val="0"/>
              <w:numPr>
                <w:ilvl w:val="1"/>
                <w:numId w:val="17"/>
              </w:numPr>
              <w:autoSpaceDE w:val="0"/>
              <w:autoSpaceDN w:val="0"/>
              <w:ind w:left="1240" w:right="106"/>
              <w:jc w:val="both"/>
              <w:rPr>
                <w:rFonts w:cstheme="minorHAnsi"/>
                <w:b/>
              </w:rPr>
            </w:pPr>
            <w:r w:rsidRPr="0026169F">
              <w:rPr>
                <w:rFonts w:cstheme="minorHAnsi"/>
                <w:szCs w:val="20"/>
              </w:rPr>
              <w:t>“Statement of Work” (SOW) refers to the part of a contract that defines deliverables in addition to contract performance terms that the contractor is expected to meet. Those performance terms may be percentages of target outcomes, or payment points tied to milestones, or incentives for exceeding expectations, or anything that sets the rules for the project once the key stakeholders formally agree to its content.</w:t>
            </w:r>
          </w:p>
          <w:p w14:paraId="5BA102F1" w14:textId="77777777" w:rsidR="005E1D0A" w:rsidRPr="0026169F" w:rsidRDefault="005E1D0A" w:rsidP="0026169F">
            <w:pPr>
              <w:widowControl w:val="0"/>
              <w:numPr>
                <w:ilvl w:val="0"/>
                <w:numId w:val="17"/>
              </w:numPr>
              <w:autoSpaceDE w:val="0"/>
              <w:autoSpaceDN w:val="0"/>
              <w:ind w:left="880"/>
              <w:rPr>
                <w:rFonts w:cstheme="minorHAnsi"/>
              </w:rPr>
            </w:pPr>
            <w:r w:rsidRPr="0026169F">
              <w:rPr>
                <w:rFonts w:cstheme="minorHAnsi"/>
              </w:rPr>
              <w:t>Expert witness agreements.</w:t>
            </w:r>
          </w:p>
          <w:p w14:paraId="4AFAC7B8" w14:textId="77777777" w:rsidR="005E1D0A" w:rsidRPr="0026169F" w:rsidRDefault="005E1D0A" w:rsidP="0026169F">
            <w:pPr>
              <w:widowControl w:val="0"/>
              <w:numPr>
                <w:ilvl w:val="0"/>
                <w:numId w:val="17"/>
              </w:numPr>
              <w:autoSpaceDE w:val="0"/>
              <w:autoSpaceDN w:val="0"/>
              <w:ind w:left="880"/>
              <w:rPr>
                <w:rFonts w:cstheme="minorHAnsi"/>
              </w:rPr>
            </w:pPr>
            <w:r w:rsidRPr="0026169F">
              <w:rPr>
                <w:rFonts w:cstheme="minorHAnsi"/>
              </w:rPr>
              <w:t>Public works contracts (although agencies are encouraged to do so).</w:t>
            </w:r>
          </w:p>
          <w:p w14:paraId="11CCB477" w14:textId="77777777" w:rsidR="005E1D0A" w:rsidRPr="0026169F" w:rsidRDefault="005E1D0A" w:rsidP="0026169F">
            <w:pPr>
              <w:widowControl w:val="0"/>
              <w:numPr>
                <w:ilvl w:val="0"/>
                <w:numId w:val="17"/>
              </w:numPr>
              <w:autoSpaceDE w:val="0"/>
              <w:autoSpaceDN w:val="0"/>
              <w:ind w:left="880"/>
              <w:rPr>
                <w:rFonts w:cstheme="minorHAnsi"/>
              </w:rPr>
            </w:pPr>
            <w:r w:rsidRPr="0026169F">
              <w:rPr>
                <w:rFonts w:cstheme="minorHAnsi"/>
              </w:rPr>
              <w:t>Loan agreements.</w:t>
            </w:r>
          </w:p>
          <w:p w14:paraId="7533EBCE" w14:textId="77777777" w:rsidR="005E1D0A" w:rsidRPr="0026169F" w:rsidRDefault="005E1D0A" w:rsidP="0026169F">
            <w:pPr>
              <w:widowControl w:val="0"/>
              <w:numPr>
                <w:ilvl w:val="0"/>
                <w:numId w:val="17"/>
              </w:numPr>
              <w:autoSpaceDE w:val="0"/>
              <w:autoSpaceDN w:val="0"/>
              <w:ind w:left="880"/>
              <w:rPr>
                <w:rFonts w:cstheme="minorHAnsi"/>
              </w:rPr>
            </w:pPr>
            <w:r w:rsidRPr="0026169F">
              <w:rPr>
                <w:rFonts w:cstheme="minorHAnsi"/>
              </w:rPr>
              <w:t>Contracts exempt from disclosure under another state law.</w:t>
            </w:r>
          </w:p>
          <w:p w14:paraId="280B20EE" w14:textId="77777777" w:rsidR="00DF2309" w:rsidRDefault="005E1D0A" w:rsidP="00574B41">
            <w:pPr>
              <w:widowControl w:val="0"/>
              <w:numPr>
                <w:ilvl w:val="0"/>
                <w:numId w:val="17"/>
              </w:numPr>
              <w:autoSpaceDE w:val="0"/>
              <w:autoSpaceDN w:val="0"/>
              <w:ind w:left="880"/>
              <w:rPr>
                <w:rFonts w:cstheme="minorHAnsi"/>
              </w:rPr>
            </w:pPr>
            <w:r w:rsidRPr="0026169F">
              <w:rPr>
                <w:rFonts w:cstheme="minorHAnsi"/>
              </w:rPr>
              <w:lastRenderedPageBreak/>
              <w:t>Contracts specifically exempted by the DES director.</w:t>
            </w:r>
          </w:p>
          <w:p w14:paraId="631B751E" w14:textId="157797E6" w:rsidR="0009304F" w:rsidRPr="00574B41" w:rsidRDefault="0009304F" w:rsidP="0009304F">
            <w:pPr>
              <w:widowControl w:val="0"/>
              <w:autoSpaceDE w:val="0"/>
              <w:autoSpaceDN w:val="0"/>
              <w:ind w:left="880"/>
              <w:rPr>
                <w:rFonts w:cstheme="minorHAnsi"/>
              </w:rPr>
            </w:pPr>
          </w:p>
        </w:tc>
      </w:tr>
      <w:tr w:rsidR="00DF2309" w:rsidRPr="00DF2309" w14:paraId="4C89E2CE" w14:textId="77777777" w:rsidTr="00DF2309">
        <w:trPr>
          <w:cantSplit/>
        </w:trPr>
        <w:tc>
          <w:tcPr>
            <w:tcW w:w="2340" w:type="dxa"/>
          </w:tcPr>
          <w:p w14:paraId="2A181CD3" w14:textId="02CE2F10" w:rsidR="00DF2309" w:rsidRPr="00DF2309" w:rsidRDefault="00DF2309" w:rsidP="00DF2309">
            <w:pPr>
              <w:pStyle w:val="BodyText"/>
            </w:pPr>
            <w:r>
              <w:lastRenderedPageBreak/>
              <w:t>Agency Staff</w:t>
            </w:r>
          </w:p>
        </w:tc>
        <w:tc>
          <w:tcPr>
            <w:tcW w:w="7010" w:type="dxa"/>
          </w:tcPr>
          <w:p w14:paraId="12B192D3" w14:textId="77777777" w:rsidR="00DF2309" w:rsidRDefault="00DF2309" w:rsidP="00DF2309">
            <w:pPr>
              <w:pStyle w:val="ListParagraph"/>
              <w:numPr>
                <w:ilvl w:val="0"/>
                <w:numId w:val="15"/>
              </w:numPr>
              <w:rPr>
                <w:rFonts w:eastAsiaTheme="minorHAnsi" w:cstheme="minorHAnsi"/>
              </w:rPr>
            </w:pPr>
            <w:r w:rsidRPr="0086199D">
              <w:rPr>
                <w:rFonts w:eastAsiaTheme="minorHAnsi" w:cstheme="minorHAnsi"/>
              </w:rPr>
              <w:t xml:space="preserve">Saves the completed template as “Your Agency" Contract Report “Year”. </w:t>
            </w:r>
          </w:p>
          <w:p w14:paraId="415A5C47" w14:textId="77777777" w:rsidR="00DF2309" w:rsidRPr="0071226E" w:rsidRDefault="00DF2309" w:rsidP="00DF2309">
            <w:pPr>
              <w:pStyle w:val="ListParagraph"/>
              <w:numPr>
                <w:ilvl w:val="1"/>
                <w:numId w:val="15"/>
              </w:numPr>
              <w:rPr>
                <w:rFonts w:eastAsiaTheme="minorHAnsi" w:cstheme="minorHAnsi"/>
              </w:rPr>
            </w:pPr>
            <w:r w:rsidRPr="0071226E">
              <w:rPr>
                <w:rFonts w:eastAsiaTheme="minorHAnsi" w:cstheme="minorHAnsi"/>
              </w:rPr>
              <w:t>Example: DESContractReport2015.xls</w:t>
            </w:r>
          </w:p>
          <w:p w14:paraId="4292EF67" w14:textId="77777777" w:rsidR="00DF2309" w:rsidRDefault="00DF2309" w:rsidP="00DF2309">
            <w:pPr>
              <w:pStyle w:val="ListParagraph"/>
              <w:ind w:left="720" w:firstLine="0"/>
              <w:rPr>
                <w:rFonts w:eastAsiaTheme="minorHAnsi" w:cstheme="minorHAnsi"/>
              </w:rPr>
            </w:pPr>
          </w:p>
          <w:p w14:paraId="19F71391" w14:textId="77777777" w:rsidR="00DF2309" w:rsidRPr="0086199D" w:rsidRDefault="00DF2309" w:rsidP="00DF2309">
            <w:pPr>
              <w:pStyle w:val="ListParagraph"/>
              <w:numPr>
                <w:ilvl w:val="0"/>
                <w:numId w:val="15"/>
              </w:numPr>
              <w:rPr>
                <w:rFonts w:eastAsiaTheme="minorHAnsi" w:cstheme="minorHAnsi"/>
              </w:rPr>
            </w:pPr>
            <w:r w:rsidRPr="0086199D">
              <w:rPr>
                <w:rFonts w:eastAsiaTheme="minorHAnsi" w:cstheme="minorHAnsi"/>
              </w:rPr>
              <w:t xml:space="preserve">Submits the report </w:t>
            </w:r>
            <w:commentRangeStart w:id="11"/>
            <w:r w:rsidR="00CF621A">
              <w:fldChar w:fldCharType="begin"/>
            </w:r>
            <w:r w:rsidR="00CF621A">
              <w:instrText xml:space="preserve"> HYPERLINK "https://wades.app.box.com/upload-widget/preview?folderID=49695041242&amp;title=Submit%20File%20to%20DES%20Contract%20Reporting%20Inbox&amp;isDescriptionFieldShown=1&amp;isEmailRequired=1&amp;width=385&amp;height=420&amp;token=95c8bxmjaqmbogeeoqvzu4cmk3xnnc3b" </w:instrText>
            </w:r>
            <w:r w:rsidR="00CF621A">
              <w:fldChar w:fldCharType="separate"/>
            </w:r>
            <w:r w:rsidRPr="0086199D">
              <w:rPr>
                <w:rFonts w:eastAsiaTheme="minorHAnsi" w:cstheme="minorHAnsi"/>
                <w:color w:val="0000FF" w:themeColor="hyperlink"/>
                <w:u w:val="single"/>
              </w:rPr>
              <w:t>here</w:t>
            </w:r>
            <w:r w:rsidR="00CF621A">
              <w:rPr>
                <w:rFonts w:eastAsiaTheme="minorHAnsi" w:cstheme="minorHAnsi"/>
                <w:color w:val="0000FF" w:themeColor="hyperlink"/>
                <w:u w:val="single"/>
              </w:rPr>
              <w:fldChar w:fldCharType="end"/>
            </w:r>
            <w:commentRangeEnd w:id="11"/>
            <w:r w:rsidR="00A63448">
              <w:rPr>
                <w:rStyle w:val="CommentReference"/>
              </w:rPr>
              <w:commentReference w:id="11"/>
            </w:r>
            <w:r w:rsidRPr="0086199D">
              <w:rPr>
                <w:rFonts w:eastAsiaTheme="minorHAnsi" w:cstheme="minorHAnsi"/>
              </w:rPr>
              <w:t>, no later than September 1st of each year.</w:t>
            </w:r>
          </w:p>
          <w:p w14:paraId="7A168219" w14:textId="77777777" w:rsidR="00DF2309" w:rsidRPr="0071226E" w:rsidRDefault="00DF2309" w:rsidP="00DF2309">
            <w:pPr>
              <w:ind w:right="106"/>
              <w:jc w:val="both"/>
              <w:rPr>
                <w:rFonts w:cstheme="minorHAnsi"/>
                <w:b/>
              </w:rPr>
            </w:pPr>
          </w:p>
        </w:tc>
      </w:tr>
    </w:tbl>
    <w:p w14:paraId="1FE65C8E" w14:textId="078420A7" w:rsidR="00DF2309" w:rsidRDefault="00DF2309" w:rsidP="00DF2309">
      <w:pPr>
        <w:pStyle w:val="BodyText"/>
      </w:pPr>
    </w:p>
    <w:p w14:paraId="72E56DD9" w14:textId="77777777" w:rsidR="00DF2309" w:rsidRDefault="00DF2309">
      <w:pPr>
        <w:pStyle w:val="Heading1"/>
      </w:pPr>
    </w:p>
    <w:p w14:paraId="68760726" w14:textId="3AF03A4D" w:rsidR="0086199D" w:rsidRDefault="0086199D" w:rsidP="0086199D">
      <w:pPr>
        <w:pStyle w:val="BodyText"/>
      </w:pPr>
    </w:p>
    <w:p w14:paraId="732FD0B7" w14:textId="5E1FC4E0" w:rsidR="00397CED" w:rsidRDefault="004C1AAB" w:rsidP="0086199D">
      <w:pPr>
        <w:rPr>
          <w:rFonts w:ascii="Calibri Light"/>
          <w:sz w:val="32"/>
        </w:rPr>
      </w:pPr>
      <w:r>
        <w:rPr>
          <w:noProof/>
          <w:lang w:bidi="ar-SA"/>
        </w:rPr>
        <mc:AlternateContent>
          <mc:Choice Requires="wps">
            <w:drawing>
              <wp:inline distT="0" distB="0" distL="0" distR="0" wp14:anchorId="36216D73" wp14:editId="3B709897">
                <wp:extent cx="6400800" cy="1263"/>
                <wp:effectExtent l="0" t="0" r="19050" b="18415"/>
                <wp:docPr id="6" name="Freeform 6"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63"/>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3008642" id="Freeform 6" o:spid="_x0000_s1026" alt="Title: Border - Description: This is a boarder used to frame the policy." style="width:7in;height:.1pt;visibility:visible;mso-wrap-style:square;mso-left-percent:-10001;mso-top-percent:-10001;mso-position-horizontal:absolute;mso-position-horizontal-relative:char;mso-position-vertical:absolute;mso-position-vertical-relative:line;mso-left-percent:-10001;mso-top-percent:-10001;v-text-anchor:top" coordsize="1013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" path="m,l10138,e" filled="f" strokeweight=".48pt">
                <v:path arrowok="t" o:connecttype="custom" o:connectlocs="0,0;6400800,0" o:connectangles="0,0"/>
                <w10:anchorlock/>
              </v:shape>
            </w:pict>
          </mc:Fallback>
        </mc:AlternateContent>
      </w:r>
      <w:r w:rsidR="004664C5">
        <w:rPr>
          <w:rFonts w:ascii="Calibri Light"/>
          <w:color w:val="1F4E79"/>
          <w:sz w:val="32"/>
        </w:rPr>
        <w:t>History</w:t>
      </w:r>
    </w:p>
    <w:p w14:paraId="0C66FEA3" w14:textId="77777777" w:rsidR="00397CED" w:rsidRDefault="004664C5">
      <w:pPr>
        <w:spacing w:before="72"/>
        <w:ind w:left="500"/>
        <w:rPr>
          <w:rFonts w:ascii="Calibri Light"/>
          <w:sz w:val="26"/>
        </w:rPr>
      </w:pPr>
      <w:bookmarkStart w:id="12" w:name="Adopted"/>
      <w:bookmarkEnd w:id="12"/>
      <w:r>
        <w:rPr>
          <w:rFonts w:ascii="Calibri Light"/>
          <w:color w:val="2E5395"/>
          <w:sz w:val="26"/>
        </w:rPr>
        <w:t>Adopted</w:t>
      </w:r>
    </w:p>
    <w:p w14:paraId="66436AE2" w14:textId="05A42D54" w:rsidR="00397CED" w:rsidRDefault="0009304F">
      <w:pPr>
        <w:pStyle w:val="BodyText"/>
        <w:spacing w:before="24"/>
        <w:ind w:left="860"/>
      </w:pPr>
      <w:r>
        <w:t>TBD</w:t>
      </w:r>
    </w:p>
    <w:p w14:paraId="43685EBB" w14:textId="77777777" w:rsidR="00397CED" w:rsidRDefault="004664C5">
      <w:pPr>
        <w:pStyle w:val="Heading2"/>
        <w:spacing w:before="163"/>
      </w:pPr>
      <w:bookmarkStart w:id="13" w:name="Replaces"/>
      <w:bookmarkEnd w:id="13"/>
      <w:r>
        <w:rPr>
          <w:color w:val="2E5395"/>
        </w:rPr>
        <w:t>Replaces</w:t>
      </w:r>
    </w:p>
    <w:p w14:paraId="160704BA" w14:textId="449F0C04" w:rsidR="00397CED" w:rsidRDefault="004664C5">
      <w:pPr>
        <w:pStyle w:val="BodyText"/>
        <w:spacing w:before="23"/>
        <w:ind w:left="860"/>
      </w:pPr>
      <w:r>
        <w:t>N/A</w:t>
      </w:r>
    </w:p>
    <w:p w14:paraId="249CCAA6" w14:textId="2185737F" w:rsidR="004C1AAB" w:rsidRDefault="004C1AAB" w:rsidP="004C1AAB">
      <w:pPr>
        <w:pStyle w:val="BodyText"/>
        <w:spacing w:before="23"/>
      </w:pPr>
      <w:r>
        <w:rPr>
          <w:noProof/>
          <w:lang w:bidi="ar-SA"/>
        </w:rPr>
        <mc:AlternateContent>
          <mc:Choice Requires="wps">
            <w:drawing>
              <wp:inline distT="0" distB="0" distL="0" distR="0" wp14:anchorId="17AC8F0E" wp14:editId="51F8BD3D">
                <wp:extent cx="6400800" cy="1263"/>
                <wp:effectExtent l="0" t="0" r="19050" b="18415"/>
                <wp:docPr id="7" name="Freeform 7"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63"/>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30B9F6B" id="Freeform 7" o:spid="_x0000_s1026" alt="Title: Border - Description: This is a boarder used to frame the policy." style="width:7in;height:.1pt;visibility:visible;mso-wrap-style:square;mso-left-percent:-10001;mso-top-percent:-10001;mso-position-horizontal:absolute;mso-position-horizontal-relative:char;mso-position-vertical:absolute;mso-position-vertical-relative:line;mso-left-percent:-10001;mso-top-percent:-10001;v-text-anchor:top" coordsize="1013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" path="m,l10138,e" filled="f" strokeweight=".48pt">
                <v:path arrowok="t" o:connecttype="custom" o:connectlocs="0,0;6400800,0" o:connectangles="0,0"/>
                <w10:anchorlock/>
              </v:shape>
            </w:pict>
          </mc:Fallback>
        </mc:AlternateContent>
      </w:r>
    </w:p>
    <w:sectPr w:rsidR="004C1AAB" w:rsidSect="006D5C22">
      <w:headerReference w:type="even" r:id="rId9"/>
      <w:headerReference w:type="default" r:id="rId10"/>
      <w:footerReference w:type="even" r:id="rId11"/>
      <w:footerReference w:type="default" r:id="rId12"/>
      <w:headerReference w:type="first" r:id="rId13"/>
      <w:footerReference w:type="first" r:id="rId14"/>
      <w:pgSz w:w="12240" w:h="15840"/>
      <w:pgMar w:top="1420" w:right="1060" w:bottom="990" w:left="9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6802D6D8" w14:textId="29AC5BDA" w:rsidR="0009304F" w:rsidRDefault="0009304F" w:rsidP="00A63448">
      <w:pPr>
        <w:pStyle w:val="CommentText"/>
        <w:numPr>
          <w:ilvl w:val="0"/>
          <w:numId w:val="20"/>
        </w:numPr>
      </w:pPr>
      <w:r>
        <w:rPr>
          <w:rStyle w:val="CommentReference"/>
        </w:rPr>
        <w:annotationRef/>
      </w:r>
      <w:r>
        <w:t xml:space="preserve"> This document</w:t>
      </w:r>
      <w:r w:rsidR="00CE6A45">
        <w:t xml:space="preserve"> is brand new and was created</w:t>
      </w:r>
      <w:r>
        <w:t xml:space="preserve"> to </w:t>
      </w:r>
      <w:r w:rsidR="00CE6A45">
        <w:t>accompany POL-DES-210-01</w:t>
      </w:r>
      <w:r>
        <w:t>.</w:t>
      </w:r>
      <w:r w:rsidR="00CE6A45" w:rsidRPr="00CE6A45">
        <w:t xml:space="preserve"> </w:t>
      </w:r>
      <w:r w:rsidR="00CE6A45">
        <w:t xml:space="preserve">Agencies will be able to use this document as a reference </w:t>
      </w:r>
      <w:r w:rsidR="001952DA">
        <w:t xml:space="preserve">guide </w:t>
      </w:r>
      <w:r w:rsidR="00CE6A45">
        <w:t>while creating</w:t>
      </w:r>
      <w:r w:rsidR="001952DA">
        <w:t xml:space="preserve"> and submitting</w:t>
      </w:r>
      <w:r w:rsidR="00CE6A45">
        <w:t xml:space="preserve"> annual contract reports. </w:t>
      </w:r>
    </w:p>
  </w:comment>
  <w:comment w:id="1" w:author="Author" w:initials="A">
    <w:p w14:paraId="47A7A4F1" w14:textId="582A0027" w:rsidR="00A63448" w:rsidRDefault="00A63448" w:rsidP="00A63448">
      <w:pPr>
        <w:pStyle w:val="CommentText"/>
        <w:numPr>
          <w:ilvl w:val="0"/>
          <w:numId w:val="20"/>
        </w:numPr>
      </w:pPr>
      <w:r>
        <w:rPr>
          <w:rStyle w:val="CommentReference"/>
        </w:rPr>
        <w:annotationRef/>
      </w:r>
      <w:r>
        <w:t xml:space="preserve"> To fit the new policy format, the content for this procedure is adapted from the original Agency Contract Reporting policy, as well as guidelines found on the DES website.</w:t>
      </w:r>
    </w:p>
  </w:comment>
  <w:comment w:id="2" w:author="Author" w:initials="A">
    <w:p w14:paraId="2792A977" w14:textId="0037A760" w:rsidR="00A63448" w:rsidRDefault="00A63448" w:rsidP="00A63448">
      <w:pPr>
        <w:pStyle w:val="CommentText"/>
        <w:numPr>
          <w:ilvl w:val="0"/>
          <w:numId w:val="20"/>
        </w:numPr>
      </w:pPr>
      <w:r>
        <w:rPr>
          <w:rStyle w:val="CommentReference"/>
        </w:rPr>
        <w:annotationRef/>
      </w:r>
      <w:r>
        <w:t xml:space="preserve"> This procedure includes a live link to download the standard reporting template for convenience.</w:t>
      </w:r>
    </w:p>
  </w:comment>
  <w:comment w:id="3" w:author="Author" w:initials="A">
    <w:p w14:paraId="3A3173DA" w14:textId="045FC12E" w:rsidR="0009304F" w:rsidRDefault="0009304F" w:rsidP="0009304F">
      <w:pPr>
        <w:pStyle w:val="CommentText"/>
        <w:numPr>
          <w:ilvl w:val="0"/>
          <w:numId w:val="20"/>
        </w:numPr>
      </w:pPr>
      <w:r>
        <w:rPr>
          <w:rStyle w:val="CommentReference"/>
        </w:rPr>
        <w:annotationRef/>
      </w:r>
      <w:r>
        <w:t xml:space="preserve"> This section is adapted from section (5) Required Data Fields of the original policy. </w:t>
      </w:r>
    </w:p>
  </w:comment>
  <w:comment w:id="4" w:author="Author" w:initials="A">
    <w:p w14:paraId="65B263DF" w14:textId="3379BC2B" w:rsidR="0009304F" w:rsidRDefault="0009304F" w:rsidP="0009304F">
      <w:pPr>
        <w:pStyle w:val="CommentText"/>
        <w:numPr>
          <w:ilvl w:val="0"/>
          <w:numId w:val="20"/>
        </w:numPr>
      </w:pPr>
      <w:r>
        <w:rPr>
          <w:rStyle w:val="CommentReference"/>
        </w:rPr>
        <w:annotationRef/>
      </w:r>
      <w:r w:rsidR="00AA6044">
        <w:t xml:space="preserve"> T</w:t>
      </w:r>
      <w:r>
        <w:t>he “Contract Modifications” field will be included in future templates, as it is required by the statute.</w:t>
      </w:r>
    </w:p>
  </w:comment>
  <w:comment w:id="5" w:author="Author" w:initials="A">
    <w:p w14:paraId="183C745B" w14:textId="02B2E41F" w:rsidR="0009304F" w:rsidRDefault="0009304F" w:rsidP="0009304F">
      <w:pPr>
        <w:pStyle w:val="CommentText"/>
        <w:numPr>
          <w:ilvl w:val="0"/>
          <w:numId w:val="20"/>
        </w:numPr>
      </w:pPr>
      <w:r>
        <w:rPr>
          <w:rStyle w:val="CommentReference"/>
        </w:rPr>
        <w:annotationRef/>
      </w:r>
      <w:r>
        <w:t xml:space="preserve"> This field was previously listed as (9) Whether the contract was competitively procured or awarded as a sole source. This will be changed to “Procurement Type” for clarity. </w:t>
      </w:r>
      <w:r w:rsidR="004E1672">
        <w:t xml:space="preserve">Authorized Convenience Contracts have been added to the list of </w:t>
      </w:r>
      <w:r>
        <w:t>ty</w:t>
      </w:r>
      <w:r w:rsidR="004E1672">
        <w:t>pes of noncompetitive processes.</w:t>
      </w:r>
    </w:p>
  </w:comment>
  <w:comment w:id="6" w:author="Author" w:initials="A">
    <w:p w14:paraId="23E62AF1" w14:textId="00882F42" w:rsidR="004E1672" w:rsidRDefault="004E1672" w:rsidP="004E1672">
      <w:pPr>
        <w:pStyle w:val="CommentText"/>
        <w:numPr>
          <w:ilvl w:val="0"/>
          <w:numId w:val="20"/>
        </w:numPr>
      </w:pPr>
      <w:r>
        <w:rPr>
          <w:rStyle w:val="CommentReference"/>
        </w:rPr>
        <w:annotationRef/>
      </w:r>
      <w:r>
        <w:t xml:space="preserve"> The definition for “Qualified master contracts” has been moved from the original policy section (8) Definitions, to the relevant section here where it is mentioned, in order to improve clarity.</w:t>
      </w:r>
    </w:p>
  </w:comment>
  <w:comment w:id="8" w:author="Author" w:initials="A">
    <w:p w14:paraId="6882A48D" w14:textId="1B59902C" w:rsidR="0009304F" w:rsidRDefault="0009304F" w:rsidP="0009304F">
      <w:pPr>
        <w:pStyle w:val="CommentText"/>
        <w:numPr>
          <w:ilvl w:val="0"/>
          <w:numId w:val="20"/>
        </w:numPr>
      </w:pPr>
      <w:r>
        <w:rPr>
          <w:rStyle w:val="CommentReference"/>
        </w:rPr>
        <w:annotationRef/>
      </w:r>
      <w:r>
        <w:t xml:space="preserve"> The “Small Business Status” field will no longer be optional</w:t>
      </w:r>
      <w:r w:rsidRPr="006769E8">
        <w:t xml:space="preserve">. This will assist in our efforts to </w:t>
      </w:r>
      <w:r w:rsidR="006769E8" w:rsidRPr="006769E8">
        <w:t>track</w:t>
      </w:r>
      <w:r w:rsidRPr="006769E8">
        <w:t xml:space="preserve"> small business usage in the state and increase transparency.</w:t>
      </w:r>
    </w:p>
  </w:comment>
  <w:comment w:id="9" w:author="Author" w:initials="A">
    <w:p w14:paraId="58C9F578" w14:textId="386FFD66" w:rsidR="00AA6044" w:rsidRDefault="00AA6044" w:rsidP="00AA6044">
      <w:pPr>
        <w:pStyle w:val="CommentText"/>
        <w:numPr>
          <w:ilvl w:val="0"/>
          <w:numId w:val="20"/>
        </w:numPr>
      </w:pPr>
      <w:r>
        <w:rPr>
          <w:rStyle w:val="CommentReference"/>
        </w:rPr>
        <w:annotationRef/>
      </w:r>
      <w:r>
        <w:t xml:space="preserve"> This section is identical to the </w:t>
      </w:r>
      <w:r w:rsidR="00CE6A45">
        <w:t>new “Exceptions” section</w:t>
      </w:r>
      <w:r>
        <w:t xml:space="preserve"> in the</w:t>
      </w:r>
      <w:r w:rsidR="00CE6A45">
        <w:t xml:space="preserve"> draft</w:t>
      </w:r>
      <w:r>
        <w:t xml:space="preserve"> </w:t>
      </w:r>
      <w:r w:rsidR="00CE6A45">
        <w:t xml:space="preserve">refresh </w:t>
      </w:r>
      <w:r>
        <w:t>policy. The same changes have been applied:</w:t>
      </w:r>
    </w:p>
    <w:p w14:paraId="708BEE97" w14:textId="77777777" w:rsidR="00AA6044" w:rsidRDefault="00AA6044" w:rsidP="00AA6044">
      <w:pPr>
        <w:pStyle w:val="CommentText"/>
        <w:widowControl/>
        <w:autoSpaceDE/>
        <w:autoSpaceDN/>
        <w:spacing w:after="160"/>
      </w:pPr>
    </w:p>
    <w:p w14:paraId="56DAE831" w14:textId="258B6AC6" w:rsidR="00AA6044" w:rsidRDefault="00AA6044" w:rsidP="00AA6044">
      <w:pPr>
        <w:pStyle w:val="CommentText"/>
        <w:widowControl/>
        <w:autoSpaceDE/>
        <w:autoSpaceDN/>
        <w:spacing w:after="160"/>
      </w:pPr>
      <w:r>
        <w:t>Three items have been removed from the exceptions list to increase transparency:</w:t>
      </w:r>
    </w:p>
    <w:p w14:paraId="270A7359" w14:textId="77777777" w:rsidR="00AA6044" w:rsidRDefault="00AA6044" w:rsidP="00AA6044">
      <w:pPr>
        <w:pStyle w:val="CommentText"/>
        <w:widowControl/>
        <w:numPr>
          <w:ilvl w:val="0"/>
          <w:numId w:val="22"/>
        </w:numPr>
        <w:autoSpaceDE/>
        <w:autoSpaceDN/>
        <w:spacing w:after="160"/>
      </w:pPr>
      <w:r>
        <w:t xml:space="preserve"> #5 (Non-fiscal agreements which are agreements that do not include a monetary component such as a data sharing agreement or confidentiality agreement) </w:t>
      </w:r>
    </w:p>
    <w:p w14:paraId="56F7E51D" w14:textId="77777777" w:rsidR="00AA6044" w:rsidRDefault="00AA6044" w:rsidP="00AA6044">
      <w:pPr>
        <w:pStyle w:val="CommentText"/>
        <w:widowControl/>
        <w:numPr>
          <w:ilvl w:val="0"/>
          <w:numId w:val="22"/>
        </w:numPr>
        <w:autoSpaceDE/>
        <w:autoSpaceDN/>
        <w:spacing w:after="160"/>
      </w:pPr>
      <w:r>
        <w:t xml:space="preserve"> #6 (Interlocal agreements and interagency agreements)</w:t>
      </w:r>
    </w:p>
    <w:p w14:paraId="64E3AFC8" w14:textId="5659117A" w:rsidR="00AA6044" w:rsidRDefault="00AA6044" w:rsidP="00AA6044">
      <w:pPr>
        <w:pStyle w:val="CommentText"/>
        <w:numPr>
          <w:ilvl w:val="0"/>
          <w:numId w:val="22"/>
        </w:numPr>
      </w:pPr>
      <w:r>
        <w:t xml:space="preserve"> #7 (Grant and sub-grant agreements)</w:t>
      </w:r>
    </w:p>
  </w:comment>
  <w:comment w:id="10" w:author="Author" w:initials="A">
    <w:p w14:paraId="61A03BF2" w14:textId="7DFF97CE" w:rsidR="00AA6044" w:rsidRDefault="00AA6044" w:rsidP="00AA6044">
      <w:pPr>
        <w:pStyle w:val="CommentText"/>
        <w:numPr>
          <w:ilvl w:val="0"/>
          <w:numId w:val="20"/>
        </w:numPr>
      </w:pPr>
      <w:r>
        <w:rPr>
          <w:rStyle w:val="CommentReference"/>
        </w:rPr>
        <w:annotationRef/>
      </w:r>
      <w:r>
        <w:t xml:space="preserve"> As in the policy, this statement has been re-written to provide clarity.</w:t>
      </w:r>
    </w:p>
  </w:comment>
  <w:comment w:id="11" w:author="Author" w:initials="A">
    <w:p w14:paraId="721CB848" w14:textId="7901A7F6" w:rsidR="00A63448" w:rsidRDefault="00A63448" w:rsidP="00A63448">
      <w:pPr>
        <w:pStyle w:val="CommentText"/>
        <w:numPr>
          <w:ilvl w:val="0"/>
          <w:numId w:val="20"/>
        </w:numPr>
      </w:pPr>
      <w:r>
        <w:rPr>
          <w:rStyle w:val="CommentReference"/>
        </w:rPr>
        <w:annotationRef/>
      </w:r>
      <w:r>
        <w:t xml:space="preserve"> This procedure includes a live link to submit completed templates for convenience.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02D6D8" w15:done="0"/>
  <w15:commentEx w15:paraId="47A7A4F1" w15:done="0"/>
  <w15:commentEx w15:paraId="2792A977" w15:done="0"/>
  <w15:commentEx w15:paraId="3A3173DA" w15:done="0"/>
  <w15:commentEx w15:paraId="65B263DF" w15:done="0"/>
  <w15:commentEx w15:paraId="183C745B" w15:done="0"/>
  <w15:commentEx w15:paraId="23E62AF1" w15:done="0"/>
  <w15:commentEx w15:paraId="6882A48D" w15:done="0"/>
  <w15:commentEx w15:paraId="64E3AFC8" w15:done="0"/>
  <w15:commentEx w15:paraId="61A03BF2" w15:done="0"/>
  <w15:commentEx w15:paraId="721CB84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9001" w14:textId="77777777" w:rsidR="00AB1230" w:rsidRDefault="00AB1230" w:rsidP="006D5C22">
      <w:r>
        <w:separator/>
      </w:r>
    </w:p>
  </w:endnote>
  <w:endnote w:type="continuationSeparator" w:id="0">
    <w:p w14:paraId="18920BFA" w14:textId="77777777" w:rsidR="00AB1230" w:rsidRDefault="00AB1230" w:rsidP="006D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D78D" w14:textId="77777777" w:rsidR="008F7CC1" w:rsidRDefault="008F7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8747" w14:textId="77777777" w:rsidR="008F7CC1" w:rsidRDefault="008F7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82D6" w14:textId="77777777" w:rsidR="008F7CC1" w:rsidRDefault="008F7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2DC98" w14:textId="77777777" w:rsidR="00AB1230" w:rsidRDefault="00AB1230" w:rsidP="006D5C22">
      <w:r>
        <w:separator/>
      </w:r>
    </w:p>
  </w:footnote>
  <w:footnote w:type="continuationSeparator" w:id="0">
    <w:p w14:paraId="264ECD93" w14:textId="77777777" w:rsidR="00AB1230" w:rsidRDefault="00AB1230" w:rsidP="006D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CDAC" w14:textId="77777777" w:rsidR="008F7CC1" w:rsidRDefault="008F7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18BB" w14:textId="042B153E" w:rsidR="006D5C22" w:rsidRDefault="006769E8">
    <w:pPr>
      <w:pStyle w:val="Header"/>
    </w:pPr>
    <w:sdt>
      <w:sdtPr>
        <w:id w:val="1864172863"/>
        <w:docPartObj>
          <w:docPartGallery w:val="Watermarks"/>
          <w:docPartUnique/>
        </w:docPartObj>
      </w:sdtPr>
      <w:sdtEndPr/>
      <w:sdtContent>
        <w:r>
          <w:rPr>
            <w:noProof/>
          </w:rPr>
          <w:pict w14:anchorId="79DB2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C1AAB">
      <w:rPr>
        <w:rFonts w:ascii="Times New Roman"/>
        <w:noProof/>
        <w:sz w:val="20"/>
        <w:lang w:bidi="ar-SA"/>
      </w:rPr>
      <w:drawing>
        <wp:inline distT="0" distB="0" distL="0" distR="0" wp14:anchorId="03DAAA51" wp14:editId="6DFC1C2D">
          <wp:extent cx="2162700" cy="365759"/>
          <wp:effectExtent l="0" t="0" r="0" b="0"/>
          <wp:docPr id="1" name="image1.jpeg" descr="Department of Enterprise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2700" cy="3657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E8BDA" w14:textId="77777777" w:rsidR="008F7CC1" w:rsidRDefault="008F7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5C8"/>
    <w:multiLevelType w:val="hybridMultilevel"/>
    <w:tmpl w:val="AECE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0019"/>
    <w:multiLevelType w:val="hybridMultilevel"/>
    <w:tmpl w:val="C39CB662"/>
    <w:lvl w:ilvl="0" w:tplc="46CC8D00">
      <w:start w:val="2"/>
      <w:numFmt w:val="decimal"/>
      <w:lvlText w:val="%1."/>
      <w:lvlJc w:val="left"/>
      <w:pPr>
        <w:ind w:left="2931" w:hanging="361"/>
      </w:pPr>
      <w:rPr>
        <w:rFonts w:ascii="Calibri" w:eastAsia="Calibri" w:hAnsi="Calibri" w:cs="Calibri" w:hint="default"/>
        <w:w w:val="100"/>
        <w:sz w:val="22"/>
        <w:szCs w:val="22"/>
        <w:lang w:val="en-US" w:eastAsia="en-US" w:bidi="en-US"/>
      </w:rPr>
    </w:lvl>
    <w:lvl w:ilvl="1" w:tplc="9A44A084">
      <w:start w:val="1"/>
      <w:numFmt w:val="lowerLetter"/>
      <w:lvlText w:val="%2."/>
      <w:lvlJc w:val="left"/>
      <w:pPr>
        <w:ind w:left="3291" w:hanging="360"/>
      </w:pPr>
      <w:rPr>
        <w:rFonts w:ascii="Calibri" w:eastAsia="Calibri" w:hAnsi="Calibri" w:cs="Calibri" w:hint="default"/>
        <w:spacing w:val="-1"/>
        <w:w w:val="100"/>
        <w:sz w:val="22"/>
        <w:szCs w:val="22"/>
        <w:lang w:val="en-US" w:eastAsia="en-US" w:bidi="en-US"/>
      </w:rPr>
    </w:lvl>
    <w:lvl w:ilvl="2" w:tplc="8792919E">
      <w:numFmt w:val="bullet"/>
      <w:lvlText w:val="•"/>
      <w:lvlJc w:val="left"/>
      <w:pPr>
        <w:ind w:left="4071" w:hanging="360"/>
      </w:pPr>
      <w:rPr>
        <w:rFonts w:hint="default"/>
        <w:lang w:val="en-US" w:eastAsia="en-US" w:bidi="en-US"/>
      </w:rPr>
    </w:lvl>
    <w:lvl w:ilvl="3" w:tplc="E1FE70E0">
      <w:numFmt w:val="bullet"/>
      <w:lvlText w:val="•"/>
      <w:lvlJc w:val="left"/>
      <w:pPr>
        <w:ind w:left="4842" w:hanging="360"/>
      </w:pPr>
      <w:rPr>
        <w:rFonts w:hint="default"/>
        <w:lang w:val="en-US" w:eastAsia="en-US" w:bidi="en-US"/>
      </w:rPr>
    </w:lvl>
    <w:lvl w:ilvl="4" w:tplc="DA9E8556">
      <w:numFmt w:val="bullet"/>
      <w:lvlText w:val="•"/>
      <w:lvlJc w:val="left"/>
      <w:pPr>
        <w:ind w:left="5613" w:hanging="360"/>
      </w:pPr>
      <w:rPr>
        <w:rFonts w:hint="default"/>
        <w:lang w:val="en-US" w:eastAsia="en-US" w:bidi="en-US"/>
      </w:rPr>
    </w:lvl>
    <w:lvl w:ilvl="5" w:tplc="A14EA6E0">
      <w:numFmt w:val="bullet"/>
      <w:lvlText w:val="•"/>
      <w:lvlJc w:val="left"/>
      <w:pPr>
        <w:ind w:left="6384" w:hanging="360"/>
      </w:pPr>
      <w:rPr>
        <w:rFonts w:hint="default"/>
        <w:lang w:val="en-US" w:eastAsia="en-US" w:bidi="en-US"/>
      </w:rPr>
    </w:lvl>
    <w:lvl w:ilvl="6" w:tplc="4C9C8F4A">
      <w:numFmt w:val="bullet"/>
      <w:lvlText w:val="•"/>
      <w:lvlJc w:val="left"/>
      <w:pPr>
        <w:ind w:left="7155" w:hanging="360"/>
      </w:pPr>
      <w:rPr>
        <w:rFonts w:hint="default"/>
        <w:lang w:val="en-US" w:eastAsia="en-US" w:bidi="en-US"/>
      </w:rPr>
    </w:lvl>
    <w:lvl w:ilvl="7" w:tplc="8788FA18">
      <w:numFmt w:val="bullet"/>
      <w:lvlText w:val="•"/>
      <w:lvlJc w:val="left"/>
      <w:pPr>
        <w:ind w:left="7926" w:hanging="360"/>
      </w:pPr>
      <w:rPr>
        <w:rFonts w:hint="default"/>
        <w:lang w:val="en-US" w:eastAsia="en-US" w:bidi="en-US"/>
      </w:rPr>
    </w:lvl>
    <w:lvl w:ilvl="8" w:tplc="12280F8C">
      <w:numFmt w:val="bullet"/>
      <w:lvlText w:val="•"/>
      <w:lvlJc w:val="left"/>
      <w:pPr>
        <w:ind w:left="8697" w:hanging="360"/>
      </w:pPr>
      <w:rPr>
        <w:rFonts w:hint="default"/>
        <w:lang w:val="en-US" w:eastAsia="en-US" w:bidi="en-US"/>
      </w:rPr>
    </w:lvl>
  </w:abstractNum>
  <w:abstractNum w:abstractNumId="2" w15:restartNumberingAfterBreak="0">
    <w:nsid w:val="0BD64EA9"/>
    <w:multiLevelType w:val="hybridMultilevel"/>
    <w:tmpl w:val="900C831A"/>
    <w:lvl w:ilvl="0" w:tplc="0409000F">
      <w:start w:val="1"/>
      <w:numFmt w:val="decimal"/>
      <w:lvlText w:val="%1."/>
      <w:lvlJc w:val="left"/>
      <w:pPr>
        <w:ind w:left="360" w:hanging="360"/>
      </w:pPr>
    </w:lvl>
    <w:lvl w:ilvl="1" w:tplc="1CA099F4">
      <w:start w:val="1"/>
      <w:numFmt w:val="decimal"/>
      <w:lvlText w:val="%2."/>
      <w:lvlJc w:val="left"/>
      <w:pPr>
        <w:ind w:left="2880" w:hanging="360"/>
      </w:pPr>
      <w:rPr>
        <w:rFonts w:ascii="Calibri" w:eastAsiaTheme="minorHAnsi" w:hAnsi="Calibri" w:cstheme="minorHAns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30CD3"/>
    <w:multiLevelType w:val="hybridMultilevel"/>
    <w:tmpl w:val="39FE2950"/>
    <w:lvl w:ilvl="0" w:tplc="6EB6BE6E">
      <w:start w:val="3"/>
      <w:numFmt w:val="decimal"/>
      <w:lvlText w:val="%1."/>
      <w:lvlJc w:val="left"/>
      <w:pPr>
        <w:ind w:left="108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950" w:hanging="360"/>
      </w:pPr>
    </w:lvl>
    <w:lvl w:ilvl="4" w:tplc="04090019" w:tentative="1">
      <w:start w:val="1"/>
      <w:numFmt w:val="lowerLetter"/>
      <w:lvlText w:val="%5."/>
      <w:lvlJc w:val="left"/>
      <w:pPr>
        <w:ind w:left="-230" w:hanging="360"/>
      </w:pPr>
    </w:lvl>
    <w:lvl w:ilvl="5" w:tplc="0409001B" w:tentative="1">
      <w:start w:val="1"/>
      <w:numFmt w:val="lowerRoman"/>
      <w:lvlText w:val="%6."/>
      <w:lvlJc w:val="right"/>
      <w:pPr>
        <w:ind w:left="490" w:hanging="180"/>
      </w:pPr>
    </w:lvl>
    <w:lvl w:ilvl="6" w:tplc="0409000F" w:tentative="1">
      <w:start w:val="1"/>
      <w:numFmt w:val="decimal"/>
      <w:lvlText w:val="%7."/>
      <w:lvlJc w:val="left"/>
      <w:pPr>
        <w:ind w:left="1210" w:hanging="360"/>
      </w:pPr>
    </w:lvl>
    <w:lvl w:ilvl="7" w:tplc="04090019" w:tentative="1">
      <w:start w:val="1"/>
      <w:numFmt w:val="lowerLetter"/>
      <w:lvlText w:val="%8."/>
      <w:lvlJc w:val="left"/>
      <w:pPr>
        <w:ind w:left="1930" w:hanging="360"/>
      </w:pPr>
    </w:lvl>
    <w:lvl w:ilvl="8" w:tplc="0409001B" w:tentative="1">
      <w:start w:val="1"/>
      <w:numFmt w:val="lowerRoman"/>
      <w:lvlText w:val="%9."/>
      <w:lvlJc w:val="right"/>
      <w:pPr>
        <w:ind w:left="2650" w:hanging="180"/>
      </w:pPr>
    </w:lvl>
  </w:abstractNum>
  <w:abstractNum w:abstractNumId="4" w15:restartNumberingAfterBreak="0">
    <w:nsid w:val="14326CA6"/>
    <w:multiLevelType w:val="hybridMultilevel"/>
    <w:tmpl w:val="39AE2FB0"/>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FE4D17"/>
    <w:multiLevelType w:val="hybridMultilevel"/>
    <w:tmpl w:val="68EA3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24CFD"/>
    <w:multiLevelType w:val="hybridMultilevel"/>
    <w:tmpl w:val="03D0AB2A"/>
    <w:lvl w:ilvl="0" w:tplc="E15E51B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026FD"/>
    <w:multiLevelType w:val="hybridMultilevel"/>
    <w:tmpl w:val="763C63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B">
      <w:start w:val="1"/>
      <w:numFmt w:val="lowerRoman"/>
      <w:lvlText w:val="%5."/>
      <w:lvlJc w:val="right"/>
      <w:pPr>
        <w:ind w:left="3960" w:hanging="360"/>
      </w:pPr>
    </w:lvl>
    <w:lvl w:ilvl="5" w:tplc="07A0C404">
      <w:start w:val="3"/>
      <w:numFmt w:val="decimal"/>
      <w:lvlText w:val="%6."/>
      <w:lvlJc w:val="left"/>
      <w:pPr>
        <w:ind w:left="486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C6AE4"/>
    <w:multiLevelType w:val="hybridMultilevel"/>
    <w:tmpl w:val="255CA9CE"/>
    <w:lvl w:ilvl="0" w:tplc="0409000F">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9F46C7"/>
    <w:multiLevelType w:val="hybridMultilevel"/>
    <w:tmpl w:val="0B7CDF1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F690FA3"/>
    <w:multiLevelType w:val="hybridMultilevel"/>
    <w:tmpl w:val="429839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8E223F"/>
    <w:multiLevelType w:val="hybridMultilevel"/>
    <w:tmpl w:val="DD50D342"/>
    <w:lvl w:ilvl="0" w:tplc="0409000F">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1A52AA6"/>
    <w:multiLevelType w:val="hybridMultilevel"/>
    <w:tmpl w:val="F3DA992E"/>
    <w:lvl w:ilvl="0" w:tplc="F1503640">
      <w:start w:val="1"/>
      <w:numFmt w:val="lowerLetter"/>
      <w:lvlText w:val="%1."/>
      <w:lvlJc w:val="left"/>
      <w:pPr>
        <w:ind w:left="3290" w:hanging="360"/>
      </w:pPr>
      <w:rPr>
        <w:rFonts w:hint="default"/>
      </w:rPr>
    </w:lvl>
    <w:lvl w:ilvl="1" w:tplc="0409001B">
      <w:start w:val="1"/>
      <w:numFmt w:val="lowerRoman"/>
      <w:lvlText w:val="%2."/>
      <w:lvlJc w:val="right"/>
      <w:pPr>
        <w:ind w:left="4010" w:hanging="360"/>
      </w:pPr>
    </w:lvl>
    <w:lvl w:ilvl="2" w:tplc="0409000F">
      <w:start w:val="1"/>
      <w:numFmt w:val="decimal"/>
      <w:lvlText w:val="%3."/>
      <w:lvlJc w:val="lef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13" w15:restartNumberingAfterBreak="0">
    <w:nsid w:val="4EA966F8"/>
    <w:multiLevelType w:val="hybridMultilevel"/>
    <w:tmpl w:val="05526456"/>
    <w:lvl w:ilvl="0" w:tplc="8D70725C">
      <w:start w:val="7"/>
      <w:numFmt w:val="decimal"/>
      <w:lvlText w:val="%1."/>
      <w:lvlJc w:val="left"/>
      <w:pPr>
        <w:ind w:left="2930" w:hanging="361"/>
      </w:pPr>
      <w:rPr>
        <w:rFonts w:ascii="Calibri" w:eastAsia="Calibri" w:hAnsi="Calibri" w:cs="Calibri" w:hint="default"/>
        <w:w w:val="100"/>
        <w:sz w:val="22"/>
        <w:szCs w:val="22"/>
        <w:lang w:val="en-US" w:eastAsia="en-US" w:bidi="en-US"/>
      </w:rPr>
    </w:lvl>
    <w:lvl w:ilvl="1" w:tplc="B5F4EFCE">
      <w:start w:val="1"/>
      <w:numFmt w:val="lowerLetter"/>
      <w:lvlText w:val="%2."/>
      <w:lvlJc w:val="left"/>
      <w:pPr>
        <w:ind w:left="3200" w:hanging="360"/>
      </w:pPr>
      <w:rPr>
        <w:rFonts w:ascii="Calibri" w:eastAsia="Calibri" w:hAnsi="Calibri" w:cs="Calibri" w:hint="default"/>
        <w:spacing w:val="-1"/>
        <w:w w:val="100"/>
        <w:sz w:val="22"/>
        <w:szCs w:val="22"/>
        <w:lang w:val="en-US" w:eastAsia="en-US" w:bidi="en-US"/>
      </w:rPr>
    </w:lvl>
    <w:lvl w:ilvl="2" w:tplc="6D02844A">
      <w:numFmt w:val="bullet"/>
      <w:lvlText w:val="•"/>
      <w:lvlJc w:val="left"/>
      <w:pPr>
        <w:ind w:left="3982" w:hanging="360"/>
      </w:pPr>
      <w:rPr>
        <w:rFonts w:hint="default"/>
        <w:lang w:val="en-US" w:eastAsia="en-US" w:bidi="en-US"/>
      </w:rPr>
    </w:lvl>
    <w:lvl w:ilvl="3" w:tplc="8E7CB476">
      <w:numFmt w:val="bullet"/>
      <w:lvlText w:val="•"/>
      <w:lvlJc w:val="left"/>
      <w:pPr>
        <w:ind w:left="4764" w:hanging="360"/>
      </w:pPr>
      <w:rPr>
        <w:rFonts w:hint="default"/>
        <w:lang w:val="en-US" w:eastAsia="en-US" w:bidi="en-US"/>
      </w:rPr>
    </w:lvl>
    <w:lvl w:ilvl="4" w:tplc="94ECAF4C">
      <w:numFmt w:val="bullet"/>
      <w:lvlText w:val="•"/>
      <w:lvlJc w:val="left"/>
      <w:pPr>
        <w:ind w:left="5546" w:hanging="360"/>
      </w:pPr>
      <w:rPr>
        <w:rFonts w:hint="default"/>
        <w:lang w:val="en-US" w:eastAsia="en-US" w:bidi="en-US"/>
      </w:rPr>
    </w:lvl>
    <w:lvl w:ilvl="5" w:tplc="97A4D998">
      <w:numFmt w:val="bullet"/>
      <w:lvlText w:val="•"/>
      <w:lvlJc w:val="left"/>
      <w:pPr>
        <w:ind w:left="6328" w:hanging="360"/>
      </w:pPr>
      <w:rPr>
        <w:rFonts w:hint="default"/>
        <w:lang w:val="en-US" w:eastAsia="en-US" w:bidi="en-US"/>
      </w:rPr>
    </w:lvl>
    <w:lvl w:ilvl="6" w:tplc="39DAD8D8">
      <w:numFmt w:val="bullet"/>
      <w:lvlText w:val="•"/>
      <w:lvlJc w:val="left"/>
      <w:pPr>
        <w:ind w:left="7111" w:hanging="360"/>
      </w:pPr>
      <w:rPr>
        <w:rFonts w:hint="default"/>
        <w:lang w:val="en-US" w:eastAsia="en-US" w:bidi="en-US"/>
      </w:rPr>
    </w:lvl>
    <w:lvl w:ilvl="7" w:tplc="87600968">
      <w:numFmt w:val="bullet"/>
      <w:lvlText w:val="•"/>
      <w:lvlJc w:val="left"/>
      <w:pPr>
        <w:ind w:left="7893" w:hanging="360"/>
      </w:pPr>
      <w:rPr>
        <w:rFonts w:hint="default"/>
        <w:lang w:val="en-US" w:eastAsia="en-US" w:bidi="en-US"/>
      </w:rPr>
    </w:lvl>
    <w:lvl w:ilvl="8" w:tplc="3A0681E8">
      <w:numFmt w:val="bullet"/>
      <w:lvlText w:val="•"/>
      <w:lvlJc w:val="left"/>
      <w:pPr>
        <w:ind w:left="8675" w:hanging="360"/>
      </w:pPr>
      <w:rPr>
        <w:rFonts w:hint="default"/>
        <w:lang w:val="en-US" w:eastAsia="en-US" w:bidi="en-US"/>
      </w:rPr>
    </w:lvl>
  </w:abstractNum>
  <w:abstractNum w:abstractNumId="14" w15:restartNumberingAfterBreak="0">
    <w:nsid w:val="53191EF2"/>
    <w:multiLevelType w:val="hybridMultilevel"/>
    <w:tmpl w:val="E44E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5106D"/>
    <w:multiLevelType w:val="hybridMultilevel"/>
    <w:tmpl w:val="285A8270"/>
    <w:lvl w:ilvl="0" w:tplc="34561C52">
      <w:start w:val="1"/>
      <w:numFmt w:val="lowerLetter"/>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844680"/>
    <w:multiLevelType w:val="hybridMultilevel"/>
    <w:tmpl w:val="A43E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9A1"/>
    <w:multiLevelType w:val="hybridMultilevel"/>
    <w:tmpl w:val="EE9A2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93973"/>
    <w:multiLevelType w:val="hybridMultilevel"/>
    <w:tmpl w:val="5AEEF730"/>
    <w:lvl w:ilvl="0" w:tplc="9CE0C1A8">
      <w:start w:val="1"/>
      <w:numFmt w:val="lowerLetter"/>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024034"/>
    <w:multiLevelType w:val="hybridMultilevel"/>
    <w:tmpl w:val="966C11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7136DF"/>
    <w:multiLevelType w:val="hybridMultilevel"/>
    <w:tmpl w:val="6C7C67D0"/>
    <w:lvl w:ilvl="0" w:tplc="FEFEF522">
      <w:start w:val="7"/>
      <w:numFmt w:val="decimal"/>
      <w:lvlText w:val="%1."/>
      <w:lvlJc w:val="left"/>
      <w:pPr>
        <w:ind w:left="2931" w:hanging="361"/>
      </w:pPr>
      <w:rPr>
        <w:rFonts w:ascii="Calibri" w:eastAsia="Calibri" w:hAnsi="Calibri" w:cs="Calibri" w:hint="default"/>
        <w:w w:val="100"/>
        <w:sz w:val="22"/>
        <w:szCs w:val="22"/>
        <w:lang w:val="en-US" w:eastAsia="en-US" w:bidi="en-US"/>
      </w:rPr>
    </w:lvl>
    <w:lvl w:ilvl="1" w:tplc="A73E8336">
      <w:start w:val="1"/>
      <w:numFmt w:val="lowerLetter"/>
      <w:lvlText w:val="%2."/>
      <w:lvlJc w:val="left"/>
      <w:pPr>
        <w:ind w:left="3291" w:hanging="360"/>
      </w:pPr>
      <w:rPr>
        <w:rFonts w:ascii="Calibri" w:eastAsia="Calibri" w:hAnsi="Calibri" w:cs="Calibri" w:hint="default"/>
        <w:spacing w:val="-1"/>
        <w:w w:val="100"/>
        <w:sz w:val="22"/>
        <w:szCs w:val="22"/>
        <w:lang w:val="en-US" w:eastAsia="en-US" w:bidi="en-US"/>
      </w:rPr>
    </w:lvl>
    <w:lvl w:ilvl="2" w:tplc="3BAC93BA">
      <w:numFmt w:val="bullet"/>
      <w:lvlText w:val="•"/>
      <w:lvlJc w:val="left"/>
      <w:pPr>
        <w:ind w:left="4071" w:hanging="360"/>
      </w:pPr>
      <w:rPr>
        <w:rFonts w:hint="default"/>
        <w:lang w:val="en-US" w:eastAsia="en-US" w:bidi="en-US"/>
      </w:rPr>
    </w:lvl>
    <w:lvl w:ilvl="3" w:tplc="C9EABC34">
      <w:numFmt w:val="bullet"/>
      <w:lvlText w:val="•"/>
      <w:lvlJc w:val="left"/>
      <w:pPr>
        <w:ind w:left="4842" w:hanging="360"/>
      </w:pPr>
      <w:rPr>
        <w:rFonts w:hint="default"/>
        <w:lang w:val="en-US" w:eastAsia="en-US" w:bidi="en-US"/>
      </w:rPr>
    </w:lvl>
    <w:lvl w:ilvl="4" w:tplc="C3F045FA">
      <w:numFmt w:val="bullet"/>
      <w:lvlText w:val="•"/>
      <w:lvlJc w:val="left"/>
      <w:pPr>
        <w:ind w:left="5613" w:hanging="360"/>
      </w:pPr>
      <w:rPr>
        <w:rFonts w:hint="default"/>
        <w:lang w:val="en-US" w:eastAsia="en-US" w:bidi="en-US"/>
      </w:rPr>
    </w:lvl>
    <w:lvl w:ilvl="5" w:tplc="0936DF78">
      <w:numFmt w:val="bullet"/>
      <w:lvlText w:val="•"/>
      <w:lvlJc w:val="left"/>
      <w:pPr>
        <w:ind w:left="6384" w:hanging="360"/>
      </w:pPr>
      <w:rPr>
        <w:rFonts w:hint="default"/>
        <w:lang w:val="en-US" w:eastAsia="en-US" w:bidi="en-US"/>
      </w:rPr>
    </w:lvl>
    <w:lvl w:ilvl="6" w:tplc="9BD49FA2">
      <w:numFmt w:val="bullet"/>
      <w:lvlText w:val="•"/>
      <w:lvlJc w:val="left"/>
      <w:pPr>
        <w:ind w:left="7155" w:hanging="360"/>
      </w:pPr>
      <w:rPr>
        <w:rFonts w:hint="default"/>
        <w:lang w:val="en-US" w:eastAsia="en-US" w:bidi="en-US"/>
      </w:rPr>
    </w:lvl>
    <w:lvl w:ilvl="7" w:tplc="AF3ABC86">
      <w:numFmt w:val="bullet"/>
      <w:lvlText w:val="•"/>
      <w:lvlJc w:val="left"/>
      <w:pPr>
        <w:ind w:left="7926" w:hanging="360"/>
      </w:pPr>
      <w:rPr>
        <w:rFonts w:hint="default"/>
        <w:lang w:val="en-US" w:eastAsia="en-US" w:bidi="en-US"/>
      </w:rPr>
    </w:lvl>
    <w:lvl w:ilvl="8" w:tplc="DB5AB06C">
      <w:numFmt w:val="bullet"/>
      <w:lvlText w:val="•"/>
      <w:lvlJc w:val="left"/>
      <w:pPr>
        <w:ind w:left="8697" w:hanging="360"/>
      </w:pPr>
      <w:rPr>
        <w:rFonts w:hint="default"/>
        <w:lang w:val="en-US" w:eastAsia="en-US" w:bidi="en-US"/>
      </w:rPr>
    </w:lvl>
  </w:abstractNum>
  <w:abstractNum w:abstractNumId="21" w15:restartNumberingAfterBreak="0">
    <w:nsid w:val="7E846206"/>
    <w:multiLevelType w:val="hybridMultilevel"/>
    <w:tmpl w:val="A47C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3"/>
  </w:num>
  <w:num w:numId="4">
    <w:abstractNumId w:val="2"/>
  </w:num>
  <w:num w:numId="5">
    <w:abstractNumId w:val="9"/>
  </w:num>
  <w:num w:numId="6">
    <w:abstractNumId w:val="12"/>
  </w:num>
  <w:num w:numId="7">
    <w:abstractNumId w:val="7"/>
  </w:num>
  <w:num w:numId="8">
    <w:abstractNumId w:val="10"/>
  </w:num>
  <w:num w:numId="9">
    <w:abstractNumId w:val="11"/>
  </w:num>
  <w:num w:numId="10">
    <w:abstractNumId w:val="8"/>
  </w:num>
  <w:num w:numId="11">
    <w:abstractNumId w:val="4"/>
  </w:num>
  <w:num w:numId="12">
    <w:abstractNumId w:val="3"/>
  </w:num>
  <w:num w:numId="13">
    <w:abstractNumId w:val="19"/>
  </w:num>
  <w:num w:numId="14">
    <w:abstractNumId w:val="14"/>
  </w:num>
  <w:num w:numId="15">
    <w:abstractNumId w:val="17"/>
  </w:num>
  <w:num w:numId="16">
    <w:abstractNumId w:val="16"/>
  </w:num>
  <w:num w:numId="17">
    <w:abstractNumId w:val="18"/>
  </w:num>
  <w:num w:numId="18">
    <w:abstractNumId w:val="5"/>
  </w:num>
  <w:num w:numId="19">
    <w:abstractNumId w:val="15"/>
  </w:num>
  <w:num w:numId="20">
    <w:abstractNumId w:val="0"/>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ED"/>
    <w:rsid w:val="0000429C"/>
    <w:rsid w:val="0009304F"/>
    <w:rsid w:val="00097065"/>
    <w:rsid w:val="000C7183"/>
    <w:rsid w:val="001667D7"/>
    <w:rsid w:val="00180E93"/>
    <w:rsid w:val="001952DA"/>
    <w:rsid w:val="002010AB"/>
    <w:rsid w:val="0026169F"/>
    <w:rsid w:val="00266F7B"/>
    <w:rsid w:val="002767D4"/>
    <w:rsid w:val="002F4E13"/>
    <w:rsid w:val="00344A14"/>
    <w:rsid w:val="00367F3A"/>
    <w:rsid w:val="00397CED"/>
    <w:rsid w:val="004118D9"/>
    <w:rsid w:val="00431AE9"/>
    <w:rsid w:val="004664C5"/>
    <w:rsid w:val="004C1AAB"/>
    <w:rsid w:val="004E1672"/>
    <w:rsid w:val="00504595"/>
    <w:rsid w:val="00505CC5"/>
    <w:rsid w:val="00515558"/>
    <w:rsid w:val="00574B41"/>
    <w:rsid w:val="00574F01"/>
    <w:rsid w:val="00584407"/>
    <w:rsid w:val="005903BA"/>
    <w:rsid w:val="005B168B"/>
    <w:rsid w:val="005E1D0A"/>
    <w:rsid w:val="0062060D"/>
    <w:rsid w:val="006769E8"/>
    <w:rsid w:val="006D043F"/>
    <w:rsid w:val="006D2DA2"/>
    <w:rsid w:val="006D5C22"/>
    <w:rsid w:val="007206C1"/>
    <w:rsid w:val="00753B12"/>
    <w:rsid w:val="007A54FA"/>
    <w:rsid w:val="008221B2"/>
    <w:rsid w:val="00853DD7"/>
    <w:rsid w:val="0086199D"/>
    <w:rsid w:val="00871A1A"/>
    <w:rsid w:val="008754BD"/>
    <w:rsid w:val="008C3135"/>
    <w:rsid w:val="008C5BCB"/>
    <w:rsid w:val="008F7CC1"/>
    <w:rsid w:val="0094621A"/>
    <w:rsid w:val="00964BED"/>
    <w:rsid w:val="00991EFF"/>
    <w:rsid w:val="009B6D3A"/>
    <w:rsid w:val="009C2253"/>
    <w:rsid w:val="00A209FE"/>
    <w:rsid w:val="00A51967"/>
    <w:rsid w:val="00A63448"/>
    <w:rsid w:val="00A820E2"/>
    <w:rsid w:val="00A97083"/>
    <w:rsid w:val="00AA6044"/>
    <w:rsid w:val="00AB1230"/>
    <w:rsid w:val="00B37263"/>
    <w:rsid w:val="00B550D7"/>
    <w:rsid w:val="00B6337D"/>
    <w:rsid w:val="00BC3AE0"/>
    <w:rsid w:val="00C31B3F"/>
    <w:rsid w:val="00C464E5"/>
    <w:rsid w:val="00C51488"/>
    <w:rsid w:val="00CB2DA3"/>
    <w:rsid w:val="00CB7E85"/>
    <w:rsid w:val="00CE472A"/>
    <w:rsid w:val="00CE6A45"/>
    <w:rsid w:val="00CF621A"/>
    <w:rsid w:val="00D02F43"/>
    <w:rsid w:val="00D77884"/>
    <w:rsid w:val="00DF2309"/>
    <w:rsid w:val="00DF34A0"/>
    <w:rsid w:val="00E434F6"/>
    <w:rsid w:val="00E47082"/>
    <w:rsid w:val="00E509FB"/>
    <w:rsid w:val="00E959DD"/>
    <w:rsid w:val="00EF4276"/>
    <w:rsid w:val="00F33B91"/>
    <w:rsid w:val="00F53C54"/>
    <w:rsid w:val="00F87BF9"/>
    <w:rsid w:val="00F91D9C"/>
    <w:rsid w:val="00FA58FE"/>
    <w:rsid w:val="00FA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88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0"/>
      <w:outlineLvl w:val="0"/>
    </w:pPr>
    <w:rPr>
      <w:b/>
      <w:bCs/>
      <w:sz w:val="28"/>
      <w:szCs w:val="28"/>
    </w:rPr>
  </w:style>
  <w:style w:type="paragraph" w:styleId="Heading2">
    <w:name w:val="heading 2"/>
    <w:basedOn w:val="Normal"/>
    <w:uiPriority w:val="1"/>
    <w:qFormat/>
    <w:pPr>
      <w:spacing w:before="72"/>
      <w:ind w:left="500"/>
      <w:outlineLvl w:val="1"/>
    </w:pPr>
    <w:rPr>
      <w:rFonts w:ascii="Calibri Light" w:eastAsia="Calibri Light" w:hAnsi="Calibri Light" w:cs="Calibri Light"/>
      <w:sz w:val="26"/>
      <w:szCs w:val="26"/>
    </w:rPr>
  </w:style>
  <w:style w:type="paragraph" w:styleId="Heading3">
    <w:name w:val="heading 3"/>
    <w:basedOn w:val="Normal"/>
    <w:uiPriority w:val="1"/>
    <w:qFormat/>
    <w:pPr>
      <w:ind w:left="411"/>
      <w:outlineLvl w:val="2"/>
    </w:pPr>
    <w:rPr>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200" w:hanging="361"/>
    </w:pPr>
  </w:style>
  <w:style w:type="paragraph" w:customStyle="1" w:styleId="TableParagraph">
    <w:name w:val="Table Paragraph"/>
    <w:basedOn w:val="Normal"/>
    <w:uiPriority w:val="1"/>
    <w:qFormat/>
  </w:style>
  <w:style w:type="paragraph" w:styleId="NoSpacing">
    <w:name w:val="No Spacing"/>
    <w:aliases w:val="Normal 3,DES-No Spacing"/>
    <w:link w:val="NoSpacingChar"/>
    <w:uiPriority w:val="1"/>
    <w:qFormat/>
    <w:rsid w:val="00A209FE"/>
    <w:pPr>
      <w:widowControl/>
      <w:autoSpaceDE/>
      <w:autoSpaceDN/>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A209FE"/>
    <w:rPr>
      <w:rFonts w:ascii="Arial" w:hAnsi="Arial" w:cs="Arial"/>
      <w:sz w:val="20"/>
      <w:szCs w:val="20"/>
      <w:lang w:bidi="en-US"/>
    </w:rPr>
  </w:style>
  <w:style w:type="character" w:styleId="Hyperlink">
    <w:name w:val="Hyperlink"/>
    <w:basedOn w:val="DefaultParagraphFont"/>
    <w:uiPriority w:val="99"/>
    <w:unhideWhenUsed/>
    <w:rsid w:val="00A209FE"/>
    <w:rPr>
      <w:color w:val="0000FF" w:themeColor="hyperlink"/>
      <w:u w:val="single"/>
    </w:rPr>
  </w:style>
  <w:style w:type="character" w:styleId="CommentReference">
    <w:name w:val="annotation reference"/>
    <w:basedOn w:val="DefaultParagraphFont"/>
    <w:uiPriority w:val="99"/>
    <w:semiHidden/>
    <w:unhideWhenUsed/>
    <w:rsid w:val="00574F01"/>
    <w:rPr>
      <w:sz w:val="16"/>
      <w:szCs w:val="16"/>
    </w:rPr>
  </w:style>
  <w:style w:type="paragraph" w:styleId="CommentText">
    <w:name w:val="annotation text"/>
    <w:basedOn w:val="Normal"/>
    <w:link w:val="CommentTextChar"/>
    <w:uiPriority w:val="99"/>
    <w:unhideWhenUsed/>
    <w:rsid w:val="00574F01"/>
    <w:rPr>
      <w:sz w:val="20"/>
      <w:szCs w:val="20"/>
    </w:rPr>
  </w:style>
  <w:style w:type="character" w:customStyle="1" w:styleId="CommentTextChar">
    <w:name w:val="Comment Text Char"/>
    <w:basedOn w:val="DefaultParagraphFont"/>
    <w:link w:val="CommentText"/>
    <w:uiPriority w:val="99"/>
    <w:rsid w:val="00574F0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74F01"/>
    <w:rPr>
      <w:b/>
      <w:bCs/>
    </w:rPr>
  </w:style>
  <w:style w:type="character" w:customStyle="1" w:styleId="CommentSubjectChar">
    <w:name w:val="Comment Subject Char"/>
    <w:basedOn w:val="CommentTextChar"/>
    <w:link w:val="CommentSubject"/>
    <w:uiPriority w:val="99"/>
    <w:semiHidden/>
    <w:rsid w:val="00574F0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57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01"/>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CE472A"/>
    <w:rPr>
      <w:color w:val="800080" w:themeColor="followedHyperlink"/>
      <w:u w:val="single"/>
    </w:rPr>
  </w:style>
  <w:style w:type="paragraph" w:styleId="Header">
    <w:name w:val="header"/>
    <w:basedOn w:val="Normal"/>
    <w:link w:val="HeaderChar"/>
    <w:uiPriority w:val="99"/>
    <w:unhideWhenUsed/>
    <w:rsid w:val="006D5C22"/>
    <w:pPr>
      <w:tabs>
        <w:tab w:val="center" w:pos="4680"/>
        <w:tab w:val="right" w:pos="9360"/>
      </w:tabs>
    </w:pPr>
  </w:style>
  <w:style w:type="character" w:customStyle="1" w:styleId="HeaderChar">
    <w:name w:val="Header Char"/>
    <w:basedOn w:val="DefaultParagraphFont"/>
    <w:link w:val="Header"/>
    <w:uiPriority w:val="99"/>
    <w:rsid w:val="006D5C22"/>
    <w:rPr>
      <w:rFonts w:ascii="Calibri" w:eastAsia="Calibri" w:hAnsi="Calibri" w:cs="Calibri"/>
      <w:lang w:bidi="en-US"/>
    </w:rPr>
  </w:style>
  <w:style w:type="paragraph" w:styleId="Footer">
    <w:name w:val="footer"/>
    <w:basedOn w:val="Normal"/>
    <w:link w:val="FooterChar"/>
    <w:uiPriority w:val="99"/>
    <w:unhideWhenUsed/>
    <w:rsid w:val="006D5C22"/>
    <w:pPr>
      <w:tabs>
        <w:tab w:val="center" w:pos="4680"/>
        <w:tab w:val="right" w:pos="9360"/>
      </w:tabs>
    </w:pPr>
  </w:style>
  <w:style w:type="character" w:customStyle="1" w:styleId="FooterChar">
    <w:name w:val="Footer Char"/>
    <w:basedOn w:val="DefaultParagraphFont"/>
    <w:link w:val="Footer"/>
    <w:uiPriority w:val="99"/>
    <w:rsid w:val="006D5C22"/>
    <w:rPr>
      <w:rFonts w:ascii="Calibri" w:eastAsia="Calibri" w:hAnsi="Calibri" w:cs="Calibri"/>
      <w:lang w:bidi="en-US"/>
    </w:rPr>
  </w:style>
  <w:style w:type="table" w:styleId="TableGrid">
    <w:name w:val="Table Grid"/>
    <w:basedOn w:val="TableNormal"/>
    <w:uiPriority w:val="59"/>
    <w:rsid w:val="0094621A"/>
    <w:pPr>
      <w:widowControl/>
      <w:autoSpaceDE/>
      <w:autoSpaceDN/>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AA6044"/>
    <w:pPr>
      <w:widowControl/>
      <w:autoSpaceDE/>
      <w:autoSpaceDN/>
      <w:contextualSpacing/>
    </w:pPr>
    <w:rPr>
      <w:rFonts w:asciiTheme="majorHAnsi" w:eastAsiaTheme="majorEastAsia" w:hAnsiTheme="majorHAnsi" w:cstheme="majorBidi"/>
      <w:color w:val="244061" w:themeColor="accent1" w:themeShade="80"/>
      <w:spacing w:val="-10"/>
      <w:kern w:val="28"/>
      <w:sz w:val="56"/>
      <w:szCs w:val="56"/>
      <w:lang w:bidi="ar-SA"/>
    </w:rPr>
  </w:style>
  <w:style w:type="character" w:customStyle="1" w:styleId="TitleChar">
    <w:name w:val="Title Char"/>
    <w:basedOn w:val="DefaultParagraphFont"/>
    <w:link w:val="Title"/>
    <w:uiPriority w:val="10"/>
    <w:rsid w:val="00AA6044"/>
    <w:rPr>
      <w:rFonts w:asciiTheme="majorHAnsi" w:eastAsiaTheme="majorEastAsia" w:hAnsiTheme="majorHAnsi" w:cstheme="majorBidi"/>
      <w:color w:val="244061" w:themeColor="accent1" w:themeShade="8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4385</Characters>
  <Application>Microsoft Office Word</Application>
  <DocSecurity>0</DocSecurity>
  <Lines>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2020-06-11T15:56:00Z</dcterms:created>
  <dcterms:modified xsi:type="dcterms:W3CDTF">2020-06-11T16:00:00Z</dcterms:modified>
</cp:coreProperties>
</file>