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A9076" w14:textId="77777777" w:rsidR="000F275D" w:rsidRDefault="000F275D" w:rsidP="0051548B">
      <w:pPr>
        <w:pStyle w:val="Subtitle"/>
        <w:spacing w:after="0"/>
        <w:contextualSpacing/>
        <w:rPr>
          <w:rFonts w:asciiTheme="minorHAnsi" w:hAnsiTheme="minorHAnsi" w:cstheme="minorHAnsi"/>
        </w:rPr>
      </w:pPr>
      <w:bookmarkStart w:id="0" w:name="_GoBack"/>
      <w:bookmarkEnd w:id="0"/>
    </w:p>
    <w:p w14:paraId="0D84C8C0" w14:textId="77777777" w:rsidR="00CE6479" w:rsidRPr="00E54934" w:rsidRDefault="00CE6479" w:rsidP="0051548B">
      <w:pPr>
        <w:pStyle w:val="Subtitle"/>
        <w:spacing w:after="0"/>
        <w:contextualSpacing/>
        <w:rPr>
          <w:rFonts w:asciiTheme="minorHAnsi" w:hAnsiTheme="minorHAnsi" w:cstheme="minorHAnsi"/>
          <w:b w:val="0"/>
        </w:rPr>
      </w:pPr>
      <w:commentRangeStart w:id="1"/>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B706DF">
        <w:rPr>
          <w:rFonts w:asciiTheme="minorHAnsi" w:hAnsiTheme="minorHAnsi" w:cstheme="minorHAnsi"/>
        </w:rPr>
        <w:t>POL-DES-</w:t>
      </w:r>
      <w:r w:rsidR="0024613B">
        <w:rPr>
          <w:rFonts w:asciiTheme="minorHAnsi" w:hAnsiTheme="minorHAnsi" w:cstheme="minorHAnsi"/>
        </w:rPr>
        <w:t>210-</w:t>
      </w:r>
      <w:r w:rsidR="00667949">
        <w:rPr>
          <w:rFonts w:asciiTheme="minorHAnsi" w:hAnsiTheme="minorHAnsi" w:cstheme="minorHAnsi"/>
        </w:rPr>
        <w:t>0</w:t>
      </w:r>
      <w:r w:rsidR="00756B9A">
        <w:rPr>
          <w:rFonts w:asciiTheme="minorHAnsi" w:hAnsiTheme="minorHAnsi" w:cstheme="minorHAnsi"/>
        </w:rPr>
        <w:t>1</w:t>
      </w:r>
      <w:commentRangeEnd w:id="1"/>
      <w:r w:rsidR="004C6322">
        <w:rPr>
          <w:rStyle w:val="CommentReference"/>
          <w:rFonts w:asciiTheme="minorHAnsi" w:eastAsiaTheme="minorHAnsi" w:hAnsiTheme="minorHAnsi" w:cstheme="minorBidi"/>
          <w:b w:val="0"/>
          <w:iCs w:val="0"/>
          <w:noProof w:val="0"/>
          <w:color w:val="auto"/>
          <w:lang w:eastAsia="en-US" w:bidi="ar-SA"/>
        </w:rPr>
        <w:commentReference w:id="1"/>
      </w:r>
      <w:r w:rsidR="001A3532">
        <w:rPr>
          <w:lang w:eastAsia="en-US" w:bidi="ar-SA"/>
        </w:rPr>
        <mc:AlternateContent>
          <mc:Choice Requires="wps">
            <w:drawing>
              <wp:inline distT="0" distB="0" distL="0" distR="0" wp14:anchorId="763EBC0A" wp14:editId="5FC0D546">
                <wp:extent cx="6400800" cy="1263"/>
                <wp:effectExtent l="0" t="0" r="19050" b="18415"/>
                <wp:docPr id="15" name="Freeform 1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63"/>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1E033FB" id="Freeform 15" o:spid="_x0000_s1026" alt="Title: Border - Description: This is a boarder used to frame the policy." style="width:7in;height:.1pt;visibility:visible;mso-wrap-style:square;mso-left-percent:-10001;mso-top-percent:-10001;mso-position-horizontal:absolute;mso-position-horizontal-relative:char;mso-position-vertical:absolute;mso-position-vertical-relative:line;mso-left-percent:-10001;mso-top-percent:-10001;v-text-anchor:top" coordsize="101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" path="m,l10138,e" filled="f" strokeweight=".48pt">
                <v:path arrowok="t" o:connecttype="custom" o:connectlocs="0,0;6400800,0" o:connectangles="0,0"/>
                <w10:anchorlock/>
              </v:shape>
            </w:pict>
          </mc:Fallback>
        </mc:AlternateContent>
      </w:r>
    </w:p>
    <w:p w14:paraId="3A1624F9" w14:textId="77777777" w:rsidR="00CE6479" w:rsidRPr="00295C76" w:rsidRDefault="0024613B" w:rsidP="0051548B">
      <w:pPr>
        <w:pStyle w:val="Title"/>
        <w:rPr>
          <w:color w:val="1F3864" w:themeColor="accent5" w:themeShade="80"/>
        </w:rPr>
      </w:pPr>
      <w:r>
        <w:rPr>
          <w:color w:val="1F3864" w:themeColor="accent5" w:themeShade="80"/>
        </w:rPr>
        <w:t>Agency Contract Reporting</w:t>
      </w:r>
      <w:r w:rsidR="0062132F">
        <w:rPr>
          <w:color w:val="1F3864" w:themeColor="accent5" w:themeShade="80"/>
        </w:rPr>
        <w:t xml:space="preserve"> Policy</w:t>
      </w:r>
    </w:p>
    <w:p w14:paraId="7E953946" w14:textId="77777777" w:rsidR="002B0F44" w:rsidRPr="00625432" w:rsidRDefault="00CE6479" w:rsidP="00D022A2">
      <w:pPr>
        <w:spacing w:line="240" w:lineRule="auto"/>
      </w:pPr>
      <w:r w:rsidRPr="00157A23">
        <w:rPr>
          <w:b/>
          <w:color w:val="000000" w:themeColor="text1"/>
          <w:lang w:eastAsia="zh-TW"/>
        </w:rPr>
        <w:t>Applies to</w:t>
      </w:r>
      <w:r w:rsidRPr="00625432">
        <w:rPr>
          <w:lang w:eastAsia="zh-TW"/>
        </w:rPr>
        <w:t>:</w:t>
      </w:r>
      <w:r w:rsidR="00BB7877">
        <w:rPr>
          <w:lang w:eastAsia="zh-TW"/>
        </w:rPr>
        <w:t xml:space="preserve"> </w:t>
      </w:r>
      <w:r w:rsidR="001562B7">
        <w:rPr>
          <w:lang w:eastAsia="zh-TW"/>
        </w:rPr>
        <w:t xml:space="preserve">Any state office or activity of the executive </w:t>
      </w:r>
      <w:r w:rsidR="007D46A3">
        <w:rPr>
          <w:lang w:eastAsia="zh-TW"/>
        </w:rPr>
        <w:t>branch</w:t>
      </w:r>
      <w:r w:rsidR="001562B7">
        <w:rPr>
          <w:lang w:eastAsia="zh-TW"/>
        </w:rPr>
        <w:t xml:space="preserve"> of state government, including state agencies, departments, offices, divisions, boards, commissions, institutions of higher educat</w:t>
      </w:r>
      <w:r w:rsidR="0019011C">
        <w:rPr>
          <w:lang w:eastAsia="zh-TW"/>
        </w:rPr>
        <w:t>ion as defined in</w:t>
      </w:r>
      <w:r w:rsidR="00D7056D">
        <w:rPr>
          <w:color w:val="FF0000"/>
          <w:lang w:eastAsia="zh-TW"/>
        </w:rPr>
        <w:t xml:space="preserve"> </w:t>
      </w:r>
      <w:hyperlink r:id="rId9" w:history="1">
        <w:r w:rsidR="00D7056D" w:rsidRPr="00D7056D">
          <w:rPr>
            <w:rStyle w:val="Hyperlink"/>
            <w:rFonts w:cstheme="minorHAnsi"/>
            <w:lang w:eastAsia="zh-TW"/>
          </w:rPr>
          <w:t>RCW 28B.10.016</w:t>
        </w:r>
      </w:hyperlink>
      <w:r w:rsidR="001562B7" w:rsidRPr="002D4956">
        <w:rPr>
          <w:color w:val="FF0000"/>
          <w:lang w:eastAsia="zh-TW"/>
        </w:rPr>
        <w:t xml:space="preserve"> </w:t>
      </w:r>
      <w:r w:rsidR="001562B7">
        <w:rPr>
          <w:lang w:eastAsia="zh-TW"/>
        </w:rPr>
        <w:t>and correctional and other types of institutions</w:t>
      </w:r>
      <w:r w:rsidR="00B706DF">
        <w:rPr>
          <w:lang w:eastAsia="zh-TW"/>
        </w:rPr>
        <w:t>.</w:t>
      </w:r>
    </w:p>
    <w:p w14:paraId="3DC323F2" w14:textId="77777777" w:rsidR="00CE6479" w:rsidRPr="00625432" w:rsidRDefault="00CE6479" w:rsidP="00D022A2">
      <w:pPr>
        <w:spacing w:line="240" w:lineRule="auto"/>
        <w:rPr>
          <w:lang w:eastAsia="zh-TW" w:bidi="en-US"/>
        </w:rPr>
      </w:pPr>
      <w:r w:rsidRPr="00157A23">
        <w:rPr>
          <w:b/>
          <w:lang w:eastAsia="zh-TW" w:bidi="en-US"/>
        </w:rPr>
        <w:t>Authorizing sources</w:t>
      </w:r>
      <w:r w:rsidRPr="00625432">
        <w:rPr>
          <w:lang w:eastAsia="zh-TW" w:bidi="en-US"/>
        </w:rPr>
        <w:t>:</w:t>
      </w:r>
    </w:p>
    <w:p w14:paraId="0246DBF3" w14:textId="77777777" w:rsidR="009C7FB8" w:rsidRPr="009C7FB8" w:rsidRDefault="009C7FB8" w:rsidP="00D022A2">
      <w:pPr>
        <w:spacing w:line="240" w:lineRule="auto"/>
      </w:pPr>
      <w:r>
        <w:t xml:space="preserve">State </w:t>
      </w:r>
      <w:r w:rsidRPr="009C7FB8">
        <w:t>Law</w:t>
      </w:r>
      <w:r w:rsidRPr="001D2492">
        <w:rPr>
          <w:b/>
        </w:rPr>
        <w:t xml:space="preserve"> </w:t>
      </w:r>
      <w:hyperlink r:id="rId10" w:history="1">
        <w:r w:rsidR="00DA3767" w:rsidRPr="000D73D2">
          <w:rPr>
            <w:rStyle w:val="Hyperlink"/>
            <w:rFonts w:cstheme="minorHAnsi"/>
          </w:rPr>
          <w:t>RCW 39.26.210(1)</w:t>
        </w:r>
      </w:hyperlink>
    </w:p>
    <w:p w14:paraId="7370B55E" w14:textId="77777777" w:rsidR="00CE6479" w:rsidRPr="00625432" w:rsidRDefault="00CE6479" w:rsidP="00D022A2">
      <w:pPr>
        <w:spacing w:line="240" w:lineRule="auto"/>
        <w:rPr>
          <w:lang w:eastAsia="zh-TW" w:bidi="en-US"/>
        </w:rPr>
      </w:pPr>
      <w:r w:rsidRPr="00157A23">
        <w:rPr>
          <w:b/>
          <w:lang w:eastAsia="zh-TW" w:bidi="en-US"/>
        </w:rPr>
        <w:t>Effective date</w:t>
      </w:r>
      <w:r w:rsidRPr="00625432">
        <w:rPr>
          <w:lang w:eastAsia="zh-TW" w:bidi="en-US"/>
        </w:rPr>
        <w:t xml:space="preserve">: </w:t>
      </w:r>
      <w:r w:rsidR="00BB7877">
        <w:t xml:space="preserve"> </w:t>
      </w:r>
      <w:r w:rsidR="000A6928">
        <w:t>TBD</w:t>
      </w:r>
    </w:p>
    <w:p w14:paraId="45EACAEA" w14:textId="77777777" w:rsidR="00CE6479" w:rsidRPr="00625432" w:rsidRDefault="00CE6479" w:rsidP="00D022A2">
      <w:pPr>
        <w:spacing w:line="240" w:lineRule="auto"/>
        <w:rPr>
          <w:lang w:eastAsia="zh-TW" w:bidi="en-US"/>
        </w:rPr>
      </w:pPr>
      <w:r w:rsidRPr="00157A23">
        <w:rPr>
          <w:b/>
          <w:lang w:eastAsia="zh-TW" w:bidi="en-US"/>
        </w:rPr>
        <w:t>Last update</w:t>
      </w:r>
      <w:r w:rsidRPr="00625432">
        <w:rPr>
          <w:lang w:eastAsia="zh-TW" w:bidi="en-US"/>
        </w:rPr>
        <w:t xml:space="preserve">: </w:t>
      </w:r>
      <w:r w:rsidR="00C666A6">
        <w:t xml:space="preserve"> </w:t>
      </w:r>
      <w:r w:rsidR="0024613B">
        <w:t>March 9, 2015</w:t>
      </w:r>
    </w:p>
    <w:p w14:paraId="5B7755D6" w14:textId="77777777" w:rsidR="00CE6479" w:rsidRPr="00625432" w:rsidRDefault="00CE6479" w:rsidP="00D022A2">
      <w:pPr>
        <w:spacing w:line="240" w:lineRule="auto"/>
        <w:rPr>
          <w:lang w:eastAsia="zh-TW" w:bidi="en-US"/>
        </w:rPr>
      </w:pPr>
      <w:r w:rsidRPr="00157A23">
        <w:rPr>
          <w:b/>
          <w:lang w:eastAsia="zh-TW" w:bidi="en-US"/>
        </w:rPr>
        <w:t xml:space="preserve">Sunset review </w:t>
      </w:r>
      <w:r w:rsidRPr="00C55825">
        <w:rPr>
          <w:b/>
          <w:lang w:eastAsia="zh-TW" w:bidi="en-US"/>
        </w:rPr>
        <w:t>date</w:t>
      </w:r>
      <w:r w:rsidR="00803285">
        <w:rPr>
          <w:rFonts w:ascii="Arial" w:hAnsi="Arial" w:cs="Arial"/>
          <w:sz w:val="20"/>
          <w:szCs w:val="24"/>
          <w:lang w:bidi="en-US"/>
        </w:rPr>
        <w:t xml:space="preserve">: </w:t>
      </w:r>
      <w:r w:rsidR="00FF5F69" w:rsidRPr="0062132F">
        <w:rPr>
          <w:lang w:bidi="en-US"/>
        </w:rPr>
        <w:t>5 years from effective date</w:t>
      </w:r>
    </w:p>
    <w:p w14:paraId="0C24E2FD" w14:textId="77777777" w:rsidR="001A3532" w:rsidRDefault="00CE6479" w:rsidP="001A3532">
      <w:pPr>
        <w:spacing w:line="240" w:lineRule="auto"/>
        <w:rPr>
          <w:lang w:eastAsia="zh-TW"/>
        </w:rPr>
      </w:pPr>
      <w:r w:rsidRPr="00157A23">
        <w:rPr>
          <w:b/>
          <w:lang w:eastAsia="zh-TW"/>
        </w:rPr>
        <w:t>Approved by</w:t>
      </w:r>
      <w:r w:rsidRPr="00625432">
        <w:rPr>
          <w:lang w:eastAsia="zh-TW"/>
        </w:rPr>
        <w:t xml:space="preserve">: </w:t>
      </w:r>
      <w:r w:rsidR="00F35E2E">
        <w:rPr>
          <w:lang w:eastAsia="zh-TW"/>
        </w:rPr>
        <w:t>_______________________________________</w:t>
      </w:r>
      <w:r w:rsidR="00DA3767">
        <w:rPr>
          <w:lang w:eastAsia="zh-TW"/>
        </w:rPr>
        <w:t>Chris Liu, DES Director</w:t>
      </w:r>
    </w:p>
    <w:p w14:paraId="7E24BB21" w14:textId="77777777" w:rsidR="00CE6479" w:rsidRDefault="001A3532" w:rsidP="001A3532">
      <w:pPr>
        <w:spacing w:line="240" w:lineRule="auto"/>
        <w:rPr>
          <w:lang w:eastAsia="zh-TW"/>
        </w:rPr>
      </w:pPr>
      <w:r>
        <w:rPr>
          <w:noProof/>
        </w:rPr>
        <mc:AlternateContent>
          <mc:Choice Requires="wps">
            <w:drawing>
              <wp:inline distT="0" distB="0" distL="0" distR="0" wp14:anchorId="03C2D233" wp14:editId="640693FD">
                <wp:extent cx="6400800" cy="1263"/>
                <wp:effectExtent l="0" t="0" r="19050" b="18415"/>
                <wp:docPr id="4" name="Freeform 4"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63"/>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FC28674" id="Freeform 4" o:spid="_x0000_s1026" alt="Title: Border - Description: This is a boarder used to frame the policy." style="width:7in;height:.1pt;visibility:visible;mso-wrap-style:square;mso-left-percent:-10001;mso-top-percent:-10001;mso-position-horizontal:absolute;mso-position-horizontal-relative:char;mso-position-vertical:absolute;mso-position-vertical-relative:line;mso-left-percent:-10001;mso-top-percent:-10001;v-text-anchor:top" coordsize="1013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" path="m,l10138,e" filled="f" strokeweight=".48pt">
                <v:path arrowok="t" o:connecttype="custom" o:connectlocs="0,0;6400800,0" o:connectangles="0,0"/>
                <w10:anchorlock/>
              </v:shape>
            </w:pict>
          </mc:Fallback>
        </mc:AlternateContent>
      </w:r>
      <w:commentRangeStart w:id="2"/>
      <w:r w:rsidR="00B17253" w:rsidRPr="001A3532">
        <w:rPr>
          <w:rStyle w:val="Heading1Char"/>
        </w:rPr>
        <w:t>Reason for Policy</w:t>
      </w:r>
      <w:commentRangeEnd w:id="2"/>
      <w:r w:rsidR="004C6322">
        <w:rPr>
          <w:rStyle w:val="CommentReference"/>
        </w:rPr>
        <w:commentReference w:id="2"/>
      </w:r>
    </w:p>
    <w:p w14:paraId="622BDC2B" w14:textId="77777777" w:rsidR="001A3532" w:rsidRDefault="00AE7A2A" w:rsidP="001A3532">
      <w:pPr>
        <w:autoSpaceDE w:val="0"/>
        <w:autoSpaceDN w:val="0"/>
        <w:adjustRightInd w:val="0"/>
        <w:spacing w:after="0" w:line="240" w:lineRule="auto"/>
        <w:contextualSpacing/>
        <w:rPr>
          <w:rFonts w:cstheme="minorHAnsi"/>
        </w:rPr>
      </w:pPr>
      <w:r w:rsidRPr="0094102C">
        <w:rPr>
          <w:rFonts w:cstheme="minorHAnsi"/>
        </w:rPr>
        <w:t xml:space="preserve">This policy establishes </w:t>
      </w:r>
      <w:r w:rsidR="00571262">
        <w:rPr>
          <w:rFonts w:cstheme="minorHAnsi"/>
        </w:rPr>
        <w:t>agency</w:t>
      </w:r>
      <w:r w:rsidRPr="0094102C">
        <w:rPr>
          <w:rFonts w:cstheme="minorHAnsi"/>
        </w:rPr>
        <w:t xml:space="preserve"> </w:t>
      </w:r>
      <w:r w:rsidR="0024613B">
        <w:rPr>
          <w:rFonts w:cstheme="minorHAnsi"/>
        </w:rPr>
        <w:t>contract reporting</w:t>
      </w:r>
      <w:r w:rsidRPr="0094102C">
        <w:rPr>
          <w:rFonts w:cstheme="minorHAnsi"/>
        </w:rPr>
        <w:t xml:space="preserve"> </w:t>
      </w:r>
      <w:r w:rsidR="0024613B">
        <w:rPr>
          <w:rFonts w:cstheme="minorHAnsi"/>
        </w:rPr>
        <w:t>requirements</w:t>
      </w:r>
      <w:r w:rsidR="00667949">
        <w:rPr>
          <w:rFonts w:cstheme="minorHAnsi"/>
        </w:rPr>
        <w:t>. See</w:t>
      </w:r>
      <w:r w:rsidR="005519A7" w:rsidRPr="0094102C">
        <w:rPr>
          <w:rFonts w:cstheme="minorHAnsi"/>
        </w:rPr>
        <w:t xml:space="preserve"> RCW 39.26.</w:t>
      </w:r>
      <w:r w:rsidR="0024613B">
        <w:rPr>
          <w:rFonts w:cstheme="minorHAnsi"/>
        </w:rPr>
        <w:t>210(1).</w:t>
      </w:r>
      <w:r w:rsidR="00052E05">
        <w:rPr>
          <w:rFonts w:cstheme="minorHAnsi"/>
        </w:rPr>
        <w:t xml:space="preserve"> </w:t>
      </w:r>
      <w:r w:rsidR="008A7D5A">
        <w:rPr>
          <w:rFonts w:cstheme="minorHAnsi"/>
        </w:rPr>
        <w:t>The purpose of the</w:t>
      </w:r>
      <w:r w:rsidR="00052E05">
        <w:rPr>
          <w:rFonts w:cstheme="minorHAnsi"/>
        </w:rPr>
        <w:t>se reporting requirements is to promote</w:t>
      </w:r>
      <w:r w:rsidR="00667949">
        <w:rPr>
          <w:rFonts w:cstheme="minorHAnsi"/>
        </w:rPr>
        <w:t xml:space="preserve"> state agency contract </w:t>
      </w:r>
      <w:r w:rsidR="00052E05">
        <w:rPr>
          <w:rFonts w:cstheme="minorHAnsi"/>
        </w:rPr>
        <w:t>transparency</w:t>
      </w:r>
      <w:r w:rsidR="00667949">
        <w:rPr>
          <w:rFonts w:cstheme="minorHAnsi"/>
        </w:rPr>
        <w:t>,</w:t>
      </w:r>
      <w:r w:rsidR="00052E05">
        <w:rPr>
          <w:rFonts w:cstheme="minorHAnsi"/>
        </w:rPr>
        <w:t xml:space="preserve"> </w:t>
      </w:r>
      <w:r w:rsidR="00667949">
        <w:rPr>
          <w:rFonts w:cstheme="minorHAnsi"/>
        </w:rPr>
        <w:t xml:space="preserve">to </w:t>
      </w:r>
      <w:r w:rsidR="00052E05">
        <w:rPr>
          <w:rFonts w:cstheme="minorHAnsi"/>
        </w:rPr>
        <w:t xml:space="preserve">centralize the location of </w:t>
      </w:r>
      <w:r w:rsidR="00D07EF6">
        <w:rPr>
          <w:rFonts w:cstheme="minorHAnsi"/>
        </w:rPr>
        <w:t xml:space="preserve">contract </w:t>
      </w:r>
      <w:r w:rsidR="00667949">
        <w:rPr>
          <w:rFonts w:cstheme="minorHAnsi"/>
        </w:rPr>
        <w:t xml:space="preserve">purchase </w:t>
      </w:r>
      <w:r w:rsidR="00052E05">
        <w:rPr>
          <w:rFonts w:cstheme="minorHAnsi"/>
        </w:rPr>
        <w:t>information, and</w:t>
      </w:r>
      <w:r w:rsidR="00667949">
        <w:rPr>
          <w:rFonts w:cstheme="minorHAnsi"/>
        </w:rPr>
        <w:t xml:space="preserve"> to</w:t>
      </w:r>
      <w:r w:rsidR="00052E05">
        <w:rPr>
          <w:rFonts w:cstheme="minorHAnsi"/>
        </w:rPr>
        <w:t xml:space="preserve"> provide the public </w:t>
      </w:r>
      <w:r w:rsidR="00667949">
        <w:rPr>
          <w:rFonts w:cstheme="minorHAnsi"/>
        </w:rPr>
        <w:t xml:space="preserve">with agency </w:t>
      </w:r>
      <w:r w:rsidR="00D07EF6">
        <w:rPr>
          <w:rFonts w:cstheme="minorHAnsi"/>
        </w:rPr>
        <w:t xml:space="preserve">contract </w:t>
      </w:r>
      <w:r w:rsidR="00667949">
        <w:rPr>
          <w:rFonts w:cstheme="minorHAnsi"/>
        </w:rPr>
        <w:t xml:space="preserve">spending information </w:t>
      </w:r>
      <w:r w:rsidR="00052E05">
        <w:rPr>
          <w:rFonts w:cstheme="minorHAnsi"/>
        </w:rPr>
        <w:t>in a searchable manner</w:t>
      </w:r>
      <w:r w:rsidR="00F67545">
        <w:rPr>
          <w:rFonts w:cstheme="minorHAnsi"/>
        </w:rPr>
        <w:t>. This policy will help</w:t>
      </w:r>
      <w:r w:rsidR="00667949">
        <w:rPr>
          <w:rFonts w:cstheme="minorHAnsi"/>
        </w:rPr>
        <w:t xml:space="preserve"> </w:t>
      </w:r>
      <w:r w:rsidR="00D07EF6">
        <w:rPr>
          <w:rFonts w:cstheme="minorHAnsi"/>
        </w:rPr>
        <w:t>ensur</w:t>
      </w:r>
      <w:r w:rsidR="00F67545">
        <w:rPr>
          <w:rFonts w:cstheme="minorHAnsi"/>
        </w:rPr>
        <w:t>e</w:t>
      </w:r>
      <w:r w:rsidR="00667949">
        <w:rPr>
          <w:rFonts w:cstheme="minorHAnsi"/>
        </w:rPr>
        <w:t xml:space="preserve"> </w:t>
      </w:r>
      <w:r w:rsidR="00F67545">
        <w:rPr>
          <w:rFonts w:cstheme="minorHAnsi"/>
        </w:rPr>
        <w:t xml:space="preserve">adherence to </w:t>
      </w:r>
      <w:r w:rsidR="00667949">
        <w:rPr>
          <w:rFonts w:cstheme="minorHAnsi"/>
        </w:rPr>
        <w:t>the highest ethical standards</w:t>
      </w:r>
      <w:r w:rsidR="00D07EF6">
        <w:rPr>
          <w:rFonts w:cstheme="minorHAnsi"/>
        </w:rPr>
        <w:t xml:space="preserve"> for,</w:t>
      </w:r>
      <w:r w:rsidR="00667949">
        <w:rPr>
          <w:rFonts w:cstheme="minorHAnsi"/>
        </w:rPr>
        <w:t xml:space="preserve"> and proper accounting </w:t>
      </w:r>
      <w:r w:rsidR="00D07EF6">
        <w:rPr>
          <w:rFonts w:cstheme="minorHAnsi"/>
        </w:rPr>
        <w:t xml:space="preserve">of, contract </w:t>
      </w:r>
      <w:r w:rsidR="00667949">
        <w:rPr>
          <w:rFonts w:cstheme="minorHAnsi"/>
        </w:rPr>
        <w:t>expenditures</w:t>
      </w:r>
      <w:r w:rsidR="00052E05">
        <w:rPr>
          <w:rFonts w:cstheme="minorHAnsi"/>
        </w:rPr>
        <w:t>.</w:t>
      </w:r>
    </w:p>
    <w:p w14:paraId="47AA4F23" w14:textId="77777777" w:rsidR="0075761B" w:rsidRPr="001A3532" w:rsidRDefault="001A3532" w:rsidP="001A3532">
      <w:pPr>
        <w:autoSpaceDE w:val="0"/>
        <w:autoSpaceDN w:val="0"/>
        <w:adjustRightInd w:val="0"/>
        <w:spacing w:after="0" w:line="240" w:lineRule="auto"/>
        <w:contextualSpacing/>
        <w:rPr>
          <w:rStyle w:val="Heading1Char"/>
        </w:rPr>
      </w:pPr>
      <w:r>
        <w:rPr>
          <w:noProof/>
        </w:rPr>
        <mc:AlternateContent>
          <mc:Choice Requires="wps">
            <w:drawing>
              <wp:inline distT="0" distB="0" distL="0" distR="0" wp14:anchorId="6B684A37" wp14:editId="1AF4231C">
                <wp:extent cx="6400800" cy="635"/>
                <wp:effectExtent l="0" t="0" r="19050" b="18415"/>
                <wp:docPr id="5" name="Freeform 5"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635"/>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9D710C9" id="Freeform 5" o:spid="_x0000_s1026" alt="Title: Border - Description: This is a boarder used to frame the policy." style="width:7in;height:.05pt;visibility:visible;mso-wrap-style:square;mso-left-percent:-10001;mso-top-percent:-10001;mso-position-horizontal:absolute;mso-position-horizontal-relative:char;mso-position-vertical:absolute;mso-position-vertical-relative:line;mso-left-percent:-10001;mso-top-percent:-10001;v-text-anchor:top" coordsize="1013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" path="m,l10138,e" filled="f" strokeweight=".48pt">
                <v:path arrowok="t" o:connecttype="custom" o:connectlocs="0,0;6400800,0" o:connectangles="0,0"/>
                <w10:anchorlock/>
              </v:shape>
            </w:pict>
          </mc:Fallback>
        </mc:AlternateContent>
      </w:r>
      <w:r w:rsidR="00A7322C" w:rsidRPr="001A3532">
        <w:rPr>
          <w:rStyle w:val="Heading1Char"/>
        </w:rPr>
        <w:t>POL-DES-210-01</w:t>
      </w:r>
      <w:r w:rsidR="0062132F" w:rsidRPr="001A3532">
        <w:rPr>
          <w:rStyle w:val="Heading1Char"/>
        </w:rPr>
        <w:t xml:space="preserve"> Agency Contract Reporting Policy</w:t>
      </w:r>
    </w:p>
    <w:p w14:paraId="6BAAD2AB" w14:textId="77777777" w:rsidR="00411CB8" w:rsidRPr="00411CB8" w:rsidRDefault="00411CB8" w:rsidP="00363AAF">
      <w:pPr>
        <w:pStyle w:val="NoSpacing"/>
        <w:numPr>
          <w:ilvl w:val="0"/>
          <w:numId w:val="7"/>
        </w:numPr>
        <w:spacing w:before="120"/>
        <w:contextualSpacing/>
        <w:jc w:val="both"/>
        <w:rPr>
          <w:rFonts w:asciiTheme="minorHAnsi" w:hAnsiTheme="minorHAnsi" w:cstheme="minorHAnsi"/>
          <w:sz w:val="22"/>
          <w:szCs w:val="22"/>
        </w:rPr>
      </w:pPr>
      <w:commentRangeStart w:id="3"/>
      <w:r>
        <w:rPr>
          <w:rFonts w:asciiTheme="minorHAnsi" w:hAnsiTheme="minorHAnsi" w:cstheme="minorHAnsi"/>
          <w:b/>
          <w:sz w:val="22"/>
          <w:szCs w:val="22"/>
        </w:rPr>
        <w:t>Policy</w:t>
      </w:r>
      <w:commentRangeEnd w:id="3"/>
      <w:r w:rsidR="00A43213">
        <w:rPr>
          <w:rStyle w:val="CommentReference"/>
          <w:rFonts w:asciiTheme="minorHAnsi" w:hAnsiTheme="minorHAnsi" w:cstheme="minorBidi"/>
          <w:lang w:bidi="ar-SA"/>
        </w:rPr>
        <w:commentReference w:id="3"/>
      </w:r>
      <w:r>
        <w:rPr>
          <w:rFonts w:asciiTheme="minorHAnsi" w:hAnsiTheme="minorHAnsi" w:cstheme="minorHAnsi"/>
          <w:b/>
          <w:sz w:val="22"/>
          <w:szCs w:val="22"/>
        </w:rPr>
        <w:t>.</w:t>
      </w:r>
    </w:p>
    <w:p w14:paraId="1360EBFA" w14:textId="77777777" w:rsidR="0051548B" w:rsidRPr="00363AAF" w:rsidRDefault="00686A6E" w:rsidP="00411CB8">
      <w:pPr>
        <w:pStyle w:val="NoSpacing"/>
        <w:spacing w:before="120"/>
        <w:ind w:left="360"/>
        <w:contextualSpacing/>
        <w:jc w:val="both"/>
        <w:rPr>
          <w:rFonts w:asciiTheme="minorHAnsi" w:hAnsiTheme="minorHAnsi" w:cstheme="minorHAnsi"/>
          <w:sz w:val="22"/>
          <w:szCs w:val="22"/>
        </w:rPr>
      </w:pPr>
      <w:r w:rsidRPr="00363AAF">
        <w:rPr>
          <w:rFonts w:asciiTheme="minorHAnsi" w:hAnsiTheme="minorHAnsi" w:cstheme="minorHAnsi"/>
          <w:sz w:val="22"/>
          <w:szCs w:val="22"/>
        </w:rPr>
        <w:t xml:space="preserve">State Agencies must annually submit to DES </w:t>
      </w:r>
      <w:commentRangeStart w:id="4"/>
      <w:r w:rsidRPr="00363AAF">
        <w:rPr>
          <w:rFonts w:asciiTheme="minorHAnsi" w:hAnsiTheme="minorHAnsi" w:cstheme="minorHAnsi"/>
          <w:sz w:val="22"/>
          <w:szCs w:val="22"/>
        </w:rPr>
        <w:t>a list of all</w:t>
      </w:r>
      <w:r w:rsidR="00313671" w:rsidRPr="00363AAF">
        <w:rPr>
          <w:rFonts w:asciiTheme="minorHAnsi" w:hAnsiTheme="minorHAnsi" w:cstheme="minorHAnsi"/>
          <w:sz w:val="22"/>
          <w:szCs w:val="22"/>
        </w:rPr>
        <w:t xml:space="preserve"> </w:t>
      </w:r>
      <w:r w:rsidRPr="00363AAF">
        <w:rPr>
          <w:rFonts w:asciiTheme="minorHAnsi" w:hAnsiTheme="minorHAnsi" w:cstheme="minorHAnsi"/>
          <w:sz w:val="22"/>
          <w:szCs w:val="22"/>
        </w:rPr>
        <w:t>contracts</w:t>
      </w:r>
      <w:r w:rsidR="00B962E5" w:rsidRPr="00363AAF">
        <w:rPr>
          <w:rFonts w:asciiTheme="minorHAnsi" w:hAnsiTheme="minorHAnsi" w:cstheme="minorHAnsi"/>
          <w:sz w:val="22"/>
          <w:szCs w:val="22"/>
        </w:rPr>
        <w:t xml:space="preserve"> </w:t>
      </w:r>
      <w:commentRangeEnd w:id="4"/>
      <w:r w:rsidR="00A43213">
        <w:rPr>
          <w:rStyle w:val="CommentReference"/>
          <w:rFonts w:asciiTheme="minorHAnsi" w:hAnsiTheme="minorHAnsi" w:cstheme="minorBidi"/>
          <w:lang w:bidi="ar-SA"/>
        </w:rPr>
        <w:commentReference w:id="4"/>
      </w:r>
      <w:r w:rsidR="00D977BB" w:rsidRPr="00363AAF">
        <w:rPr>
          <w:rFonts w:asciiTheme="minorHAnsi" w:hAnsiTheme="minorHAnsi" w:cstheme="minorHAnsi"/>
          <w:sz w:val="22"/>
          <w:szCs w:val="22"/>
        </w:rPr>
        <w:t>that</w:t>
      </w:r>
      <w:r w:rsidR="00B962E5" w:rsidRPr="00363AAF">
        <w:rPr>
          <w:rFonts w:asciiTheme="minorHAnsi" w:hAnsiTheme="minorHAnsi" w:cstheme="minorHAnsi"/>
          <w:sz w:val="22"/>
          <w:szCs w:val="22"/>
        </w:rPr>
        <w:t xml:space="preserve"> were</w:t>
      </w:r>
      <w:r w:rsidR="00BA0CD3" w:rsidRPr="00363AAF">
        <w:rPr>
          <w:rFonts w:asciiTheme="minorHAnsi" w:hAnsiTheme="minorHAnsi" w:cstheme="minorHAnsi"/>
          <w:sz w:val="22"/>
          <w:szCs w:val="22"/>
        </w:rPr>
        <w:t xml:space="preserve"> entered into,</w:t>
      </w:r>
      <w:r w:rsidR="00363AAF" w:rsidRPr="00363AAF">
        <w:rPr>
          <w:rFonts w:asciiTheme="minorHAnsi" w:hAnsiTheme="minorHAnsi" w:cstheme="minorHAnsi"/>
          <w:sz w:val="22"/>
          <w:szCs w:val="22"/>
        </w:rPr>
        <w:t xml:space="preserve"> </w:t>
      </w:r>
      <w:r w:rsidR="00BA0CD3" w:rsidRPr="00363AAF">
        <w:rPr>
          <w:rFonts w:asciiTheme="minorHAnsi" w:hAnsiTheme="minorHAnsi" w:cstheme="minorHAnsi"/>
          <w:sz w:val="22"/>
          <w:szCs w:val="22"/>
        </w:rPr>
        <w:t xml:space="preserve">amended, or </w:t>
      </w:r>
      <w:r w:rsidR="00363AAF" w:rsidRPr="00363AAF">
        <w:rPr>
          <w:rFonts w:asciiTheme="minorHAnsi" w:hAnsiTheme="minorHAnsi" w:cstheme="minorHAnsi"/>
          <w:sz w:val="22"/>
          <w:szCs w:val="22"/>
        </w:rPr>
        <w:t>in effect</w:t>
      </w:r>
      <w:r w:rsidR="00B962E5" w:rsidRPr="00363AAF">
        <w:rPr>
          <w:rFonts w:asciiTheme="minorHAnsi" w:hAnsiTheme="minorHAnsi" w:cstheme="minorHAnsi"/>
          <w:sz w:val="22"/>
          <w:szCs w:val="22"/>
        </w:rPr>
        <w:t xml:space="preserve"> during the reporting period</w:t>
      </w:r>
      <w:r w:rsidR="00363AAF" w:rsidRPr="00363AAF">
        <w:rPr>
          <w:rFonts w:asciiTheme="minorHAnsi" w:hAnsiTheme="minorHAnsi" w:cstheme="minorHAnsi"/>
          <w:sz w:val="22"/>
          <w:szCs w:val="22"/>
        </w:rPr>
        <w:t>,</w:t>
      </w:r>
      <w:r w:rsidR="00B962E5" w:rsidRPr="00363AAF">
        <w:rPr>
          <w:rFonts w:asciiTheme="minorHAnsi" w:hAnsiTheme="minorHAnsi" w:cstheme="minorHAnsi"/>
          <w:sz w:val="22"/>
          <w:szCs w:val="22"/>
        </w:rPr>
        <w:t xml:space="preserve"> </w:t>
      </w:r>
      <w:r w:rsidRPr="00363AAF">
        <w:rPr>
          <w:rFonts w:asciiTheme="minorHAnsi" w:hAnsiTheme="minorHAnsi" w:cstheme="minorHAnsi"/>
          <w:sz w:val="22"/>
          <w:szCs w:val="22"/>
        </w:rPr>
        <w:t xml:space="preserve">except for </w:t>
      </w:r>
      <w:r w:rsidR="00A7322C" w:rsidRPr="00363AAF">
        <w:rPr>
          <w:rFonts w:asciiTheme="minorHAnsi" w:hAnsiTheme="minorHAnsi" w:cstheme="minorHAnsi"/>
          <w:sz w:val="22"/>
          <w:szCs w:val="22"/>
        </w:rPr>
        <w:t>those that are otherwise exempt</w:t>
      </w:r>
      <w:r w:rsidR="00363AAF" w:rsidRPr="00363AAF">
        <w:rPr>
          <w:rFonts w:asciiTheme="minorHAnsi" w:hAnsiTheme="minorHAnsi" w:cstheme="minorHAnsi"/>
          <w:sz w:val="22"/>
          <w:szCs w:val="22"/>
        </w:rPr>
        <w:t>.</w:t>
      </w:r>
    </w:p>
    <w:p w14:paraId="0849810F" w14:textId="77777777" w:rsidR="0062132F" w:rsidRDefault="0062132F" w:rsidP="00995CDC">
      <w:pPr>
        <w:pStyle w:val="NoSpacing"/>
        <w:numPr>
          <w:ilvl w:val="1"/>
          <w:numId w:val="7"/>
        </w:numPr>
        <w:spacing w:before="120"/>
        <w:contextualSpacing/>
        <w:jc w:val="both"/>
        <w:rPr>
          <w:rFonts w:asciiTheme="minorHAnsi" w:hAnsiTheme="minorHAnsi" w:cstheme="minorHAnsi"/>
          <w:sz w:val="22"/>
          <w:szCs w:val="22"/>
        </w:rPr>
      </w:pPr>
      <w:commentRangeStart w:id="5"/>
      <w:r w:rsidRPr="00914DC9">
        <w:rPr>
          <w:rFonts w:asciiTheme="minorHAnsi" w:hAnsiTheme="minorHAnsi" w:cstheme="minorHAnsi"/>
          <w:sz w:val="22"/>
          <w:szCs w:val="22"/>
        </w:rPr>
        <w:t xml:space="preserve">“Contract” </w:t>
      </w:r>
      <w:commentRangeEnd w:id="5"/>
      <w:r w:rsidR="009F0017">
        <w:rPr>
          <w:rStyle w:val="CommentReference"/>
          <w:rFonts w:asciiTheme="minorHAnsi" w:hAnsiTheme="minorHAnsi" w:cstheme="minorBidi"/>
          <w:lang w:bidi="ar-SA"/>
        </w:rPr>
        <w:commentReference w:id="5"/>
      </w:r>
      <w:r w:rsidRPr="00914DC9">
        <w:rPr>
          <w:rFonts w:asciiTheme="minorHAnsi" w:hAnsiTheme="minorHAnsi" w:cstheme="minorHAnsi"/>
          <w:sz w:val="22"/>
          <w:szCs w:val="22"/>
        </w:rPr>
        <w:t>means an agreement for goods, commodities, information technology goods and services, personal services, purchased services and client services, as well as software licenses, click thru agreements and equipment maintenance.</w:t>
      </w:r>
    </w:p>
    <w:p w14:paraId="06E8C883" w14:textId="77777777" w:rsidR="003D7E3E" w:rsidRPr="00C94FD5" w:rsidRDefault="00F32A5A" w:rsidP="00995CDC">
      <w:pPr>
        <w:pStyle w:val="NoSpacing"/>
        <w:numPr>
          <w:ilvl w:val="1"/>
          <w:numId w:val="7"/>
        </w:numPr>
        <w:contextualSpacing/>
        <w:rPr>
          <w:rFonts w:asciiTheme="minorHAnsi" w:hAnsiTheme="minorHAnsi" w:cstheme="minorHAnsi"/>
          <w:sz w:val="22"/>
          <w:szCs w:val="22"/>
        </w:rPr>
      </w:pPr>
      <w:r w:rsidRPr="00F32A5A">
        <w:rPr>
          <w:rFonts w:asciiTheme="minorHAnsi" w:hAnsiTheme="minorHAnsi" w:cstheme="minorHAnsi"/>
          <w:sz w:val="22"/>
          <w:szCs w:val="22"/>
        </w:rPr>
        <w:t>“Click thru agreement” means an on-screen license agreement that is accepted by the user by clicking a button.</w:t>
      </w:r>
      <w:r w:rsidR="00F67545">
        <w:rPr>
          <w:rFonts w:asciiTheme="minorHAnsi" w:hAnsiTheme="minorHAnsi" w:cstheme="minorHAnsi"/>
          <w:sz w:val="22"/>
          <w:szCs w:val="22"/>
        </w:rPr>
        <w:t xml:space="preserve"> </w:t>
      </w:r>
      <w:r w:rsidR="003D7E3E">
        <w:rPr>
          <w:rFonts w:asciiTheme="minorHAnsi" w:hAnsiTheme="minorHAnsi" w:cstheme="minorHAnsi"/>
          <w:sz w:val="22"/>
          <w:szCs w:val="22"/>
        </w:rPr>
        <w:t>Agencies will report these contracts using the procedures in PRO-DES-210-01</w:t>
      </w:r>
      <w:r w:rsidR="00F67545">
        <w:rPr>
          <w:rFonts w:asciiTheme="minorHAnsi" w:hAnsiTheme="minorHAnsi" w:cstheme="minorHAnsi"/>
          <w:sz w:val="22"/>
          <w:szCs w:val="22"/>
        </w:rPr>
        <w:t>.</w:t>
      </w:r>
      <w:r w:rsidR="003D7E3E">
        <w:rPr>
          <w:rFonts w:asciiTheme="minorHAnsi" w:hAnsiTheme="minorHAnsi" w:cstheme="minorHAnsi"/>
          <w:sz w:val="22"/>
          <w:szCs w:val="22"/>
        </w:rPr>
        <w:t xml:space="preserve"> </w:t>
      </w:r>
    </w:p>
    <w:p w14:paraId="2B60F593" w14:textId="77777777" w:rsidR="00EA33DB" w:rsidRPr="00EA33DB" w:rsidRDefault="00EA33DB" w:rsidP="00EA33DB">
      <w:pPr>
        <w:pStyle w:val="NoSpacing"/>
        <w:numPr>
          <w:ilvl w:val="1"/>
          <w:numId w:val="7"/>
        </w:numPr>
        <w:spacing w:before="120"/>
        <w:contextualSpacing/>
        <w:jc w:val="both"/>
        <w:rPr>
          <w:rFonts w:asciiTheme="minorHAnsi" w:hAnsiTheme="minorHAnsi" w:cstheme="minorHAnsi"/>
          <w:sz w:val="22"/>
          <w:szCs w:val="22"/>
        </w:rPr>
      </w:pPr>
      <w:r w:rsidRPr="0051548B">
        <w:rPr>
          <w:rFonts w:asciiTheme="minorHAnsi" w:hAnsiTheme="minorHAnsi" w:cstheme="minorHAnsi"/>
          <w:sz w:val="22"/>
          <w:szCs w:val="22"/>
        </w:rPr>
        <w:t>The reporting period will be for the fiscal year, July 1 through June 30.</w:t>
      </w:r>
    </w:p>
    <w:p w14:paraId="41B9D3C8" w14:textId="77777777" w:rsidR="00EA33DB" w:rsidRDefault="00203B2F" w:rsidP="00EA33DB">
      <w:pPr>
        <w:pStyle w:val="ListParagraph"/>
        <w:numPr>
          <w:ilvl w:val="1"/>
          <w:numId w:val="7"/>
        </w:numPr>
        <w:spacing w:line="240" w:lineRule="auto"/>
        <w:rPr>
          <w:rFonts w:cstheme="minorHAnsi"/>
          <w:lang w:bidi="en-US"/>
        </w:rPr>
      </w:pPr>
      <w:r w:rsidRPr="00203B2F">
        <w:rPr>
          <w:rFonts w:cstheme="minorHAnsi"/>
          <w:lang w:bidi="en-US"/>
        </w:rPr>
        <w:t>The report must be submitted to DES no later than September 1st of each year.</w:t>
      </w:r>
    </w:p>
    <w:p w14:paraId="10FE6F29" w14:textId="77777777" w:rsidR="00EA33DB" w:rsidRPr="00EA33DB" w:rsidRDefault="0082410D" w:rsidP="00EA33DB">
      <w:pPr>
        <w:pStyle w:val="ListParagraph"/>
        <w:numPr>
          <w:ilvl w:val="1"/>
          <w:numId w:val="7"/>
        </w:numPr>
        <w:spacing w:line="240" w:lineRule="auto"/>
        <w:rPr>
          <w:rFonts w:cstheme="minorHAnsi"/>
          <w:lang w:bidi="en-US"/>
        </w:rPr>
      </w:pPr>
      <w:r>
        <w:rPr>
          <w:rFonts w:cstheme="minorHAnsi"/>
        </w:rPr>
        <w:t xml:space="preserve">Contract reporting </w:t>
      </w:r>
      <w:r w:rsidR="00EA33DB" w:rsidRPr="00EA33DB">
        <w:rPr>
          <w:rFonts w:cstheme="minorHAnsi"/>
        </w:rPr>
        <w:t xml:space="preserve">information will be maintained by DES and made available for public inspection. </w:t>
      </w:r>
    </w:p>
    <w:p w14:paraId="0BFB20A9" w14:textId="77777777" w:rsidR="00EA33DB" w:rsidRPr="003D7E3E" w:rsidRDefault="00EA33DB" w:rsidP="00EA33DB">
      <w:pPr>
        <w:pStyle w:val="ListParagraph"/>
        <w:spacing w:line="240" w:lineRule="auto"/>
        <w:ind w:left="1080"/>
        <w:rPr>
          <w:rFonts w:cstheme="minorHAnsi"/>
          <w:lang w:bidi="en-US"/>
        </w:rPr>
      </w:pPr>
    </w:p>
    <w:p w14:paraId="3C209FAD" w14:textId="77777777" w:rsidR="00411CB8" w:rsidRDefault="00411CB8" w:rsidP="00C94FD5">
      <w:pPr>
        <w:pStyle w:val="ListParagraph"/>
        <w:numPr>
          <w:ilvl w:val="0"/>
          <w:numId w:val="7"/>
        </w:numPr>
        <w:spacing w:line="240" w:lineRule="auto"/>
        <w:rPr>
          <w:rFonts w:cstheme="minorHAnsi"/>
          <w:lang w:bidi="en-US"/>
        </w:rPr>
      </w:pPr>
      <w:commentRangeStart w:id="6"/>
      <w:r>
        <w:rPr>
          <w:rFonts w:cstheme="minorHAnsi"/>
          <w:b/>
        </w:rPr>
        <w:t>Exceptions.</w:t>
      </w:r>
      <w:r w:rsidR="007C1AB4">
        <w:rPr>
          <w:rFonts w:cstheme="minorHAnsi"/>
        </w:rPr>
        <w:t xml:space="preserve"> </w:t>
      </w:r>
      <w:commentRangeEnd w:id="6"/>
      <w:r w:rsidR="008A74BD">
        <w:rPr>
          <w:rStyle w:val="CommentReference"/>
        </w:rPr>
        <w:commentReference w:id="6"/>
      </w:r>
    </w:p>
    <w:p w14:paraId="4A9A9719" w14:textId="77777777" w:rsidR="00C94FD5" w:rsidRDefault="00AF220B" w:rsidP="00411CB8">
      <w:pPr>
        <w:pStyle w:val="ListParagraph"/>
        <w:spacing w:line="240" w:lineRule="auto"/>
        <w:ind w:left="360"/>
        <w:rPr>
          <w:rFonts w:cstheme="minorHAnsi"/>
          <w:lang w:bidi="en-US"/>
        </w:rPr>
      </w:pPr>
      <w:commentRangeStart w:id="7"/>
      <w:r w:rsidRPr="00C94FD5">
        <w:rPr>
          <w:rFonts w:cstheme="minorHAnsi"/>
        </w:rPr>
        <w:t>Agencies wi</w:t>
      </w:r>
      <w:r w:rsidR="0062132F" w:rsidRPr="00C94FD5">
        <w:rPr>
          <w:rFonts w:cstheme="minorHAnsi"/>
        </w:rPr>
        <w:t>ll not be required to report</w:t>
      </w:r>
      <w:r w:rsidRPr="00C94FD5">
        <w:rPr>
          <w:rFonts w:cstheme="minorHAnsi"/>
        </w:rPr>
        <w:t>:</w:t>
      </w:r>
      <w:commentRangeEnd w:id="7"/>
      <w:r w:rsidR="008A74BD">
        <w:rPr>
          <w:rStyle w:val="CommentReference"/>
        </w:rPr>
        <w:commentReference w:id="7"/>
      </w:r>
    </w:p>
    <w:p w14:paraId="27A37F76" w14:textId="77777777" w:rsidR="00C94FD5" w:rsidRDefault="000D0D0D" w:rsidP="00E03597">
      <w:pPr>
        <w:pStyle w:val="ListParagraph"/>
        <w:numPr>
          <w:ilvl w:val="1"/>
          <w:numId w:val="7"/>
        </w:numPr>
        <w:spacing w:line="240" w:lineRule="auto"/>
        <w:rPr>
          <w:rFonts w:cstheme="minorHAnsi"/>
          <w:lang w:bidi="en-US"/>
        </w:rPr>
      </w:pPr>
      <w:r w:rsidRPr="00C94FD5">
        <w:rPr>
          <w:rFonts w:cstheme="minorHAnsi"/>
        </w:rPr>
        <w:t>Purchase orders or Field</w:t>
      </w:r>
      <w:r w:rsidRPr="00C94FD5">
        <w:rPr>
          <w:rFonts w:cstheme="minorHAnsi"/>
          <w:spacing w:val="1"/>
        </w:rPr>
        <w:t xml:space="preserve"> </w:t>
      </w:r>
      <w:r w:rsidRPr="00C94FD5">
        <w:rPr>
          <w:rFonts w:cstheme="minorHAnsi"/>
        </w:rPr>
        <w:t>orders</w:t>
      </w:r>
      <w:r w:rsidR="00073CD3">
        <w:rPr>
          <w:rFonts w:cstheme="minorHAnsi"/>
        </w:rPr>
        <w:t>.</w:t>
      </w:r>
      <w:r w:rsidRPr="00C94FD5">
        <w:rPr>
          <w:rFonts w:cstheme="minorHAnsi"/>
        </w:rPr>
        <w:t xml:space="preserve"> </w:t>
      </w:r>
    </w:p>
    <w:p w14:paraId="465DA27D" w14:textId="77777777" w:rsidR="00EC468F" w:rsidRDefault="000D0D0D" w:rsidP="00EC468F">
      <w:pPr>
        <w:pStyle w:val="ListParagraph"/>
        <w:numPr>
          <w:ilvl w:val="1"/>
          <w:numId w:val="7"/>
        </w:numPr>
        <w:spacing w:line="240" w:lineRule="auto"/>
        <w:rPr>
          <w:rFonts w:cstheme="minorHAnsi"/>
        </w:rPr>
      </w:pPr>
      <w:commentRangeStart w:id="8"/>
      <w:r w:rsidRPr="0082410D">
        <w:rPr>
          <w:rFonts w:cstheme="minorHAnsi"/>
          <w:lang w:bidi="en-US"/>
        </w:rPr>
        <w:t xml:space="preserve">Direct Buy </w:t>
      </w:r>
      <w:r w:rsidR="000A6928">
        <w:rPr>
          <w:rFonts w:cstheme="minorHAnsi"/>
          <w:lang w:bidi="en-US"/>
        </w:rPr>
        <w:t>purchases</w:t>
      </w:r>
      <w:r w:rsidRPr="0082410D">
        <w:rPr>
          <w:rFonts w:cstheme="minorHAnsi"/>
          <w:lang w:bidi="en-US"/>
        </w:rPr>
        <w:t xml:space="preserve"> that </w:t>
      </w:r>
      <w:r w:rsidR="000A6928">
        <w:rPr>
          <w:rFonts w:cstheme="minorHAnsi"/>
          <w:lang w:bidi="en-US"/>
        </w:rPr>
        <w:t xml:space="preserve">do not </w:t>
      </w:r>
      <w:r w:rsidRPr="0082410D">
        <w:rPr>
          <w:rFonts w:cstheme="minorHAnsi"/>
          <w:lang w:bidi="en-US"/>
        </w:rPr>
        <w:t>include a statement of work.</w:t>
      </w:r>
      <w:commentRangeEnd w:id="8"/>
      <w:r w:rsidR="009F0017">
        <w:rPr>
          <w:rStyle w:val="CommentReference"/>
        </w:rPr>
        <w:commentReference w:id="8"/>
      </w:r>
    </w:p>
    <w:p w14:paraId="112F8056" w14:textId="77777777" w:rsidR="0082410D" w:rsidRPr="00EC468F" w:rsidRDefault="0082410D" w:rsidP="00EC468F">
      <w:pPr>
        <w:pStyle w:val="ListParagraph"/>
        <w:numPr>
          <w:ilvl w:val="2"/>
          <w:numId w:val="7"/>
        </w:numPr>
        <w:spacing w:line="240" w:lineRule="auto"/>
        <w:ind w:left="1440"/>
        <w:rPr>
          <w:rFonts w:cstheme="minorHAnsi"/>
        </w:rPr>
      </w:pPr>
      <w:r w:rsidRPr="00EC468F">
        <w:rPr>
          <w:rFonts w:cstheme="minorHAnsi"/>
        </w:rPr>
        <w:t xml:space="preserve">“Statement of Work” (SOW) refers to the part of a contract that defines deliverables in addition to contract performance terms that the contractor is expected to meet. Those performance terms may be percentages of target outcomes, or payment points tied to milestones, or </w:t>
      </w:r>
      <w:r w:rsidRPr="00EC468F">
        <w:rPr>
          <w:rFonts w:cstheme="minorHAnsi"/>
        </w:rPr>
        <w:lastRenderedPageBreak/>
        <w:t>incentives for exceeding expectations, or anything that sets the rules for the project once the key stakeholders formally agree to its content.</w:t>
      </w:r>
    </w:p>
    <w:p w14:paraId="665B1E6F" w14:textId="77777777" w:rsidR="000D0D0D" w:rsidRPr="00995CDC" w:rsidRDefault="000D0D0D" w:rsidP="00995CDC">
      <w:pPr>
        <w:pStyle w:val="ListParagraph"/>
        <w:numPr>
          <w:ilvl w:val="1"/>
          <w:numId w:val="7"/>
        </w:numPr>
        <w:spacing w:line="240" w:lineRule="auto"/>
        <w:rPr>
          <w:rFonts w:cstheme="minorHAnsi"/>
          <w:lang w:bidi="en-US"/>
        </w:rPr>
      </w:pPr>
      <w:r w:rsidRPr="00995CDC">
        <w:rPr>
          <w:rFonts w:cstheme="minorHAnsi"/>
        </w:rPr>
        <w:t>Expert witness agreements.</w:t>
      </w:r>
    </w:p>
    <w:p w14:paraId="50AB7532" w14:textId="77777777" w:rsidR="000D0D0D" w:rsidRPr="000D0D0D" w:rsidRDefault="000D0D0D" w:rsidP="0051548B">
      <w:pPr>
        <w:pStyle w:val="ListParagraph"/>
        <w:numPr>
          <w:ilvl w:val="1"/>
          <w:numId w:val="7"/>
        </w:numPr>
        <w:spacing w:line="240" w:lineRule="auto"/>
        <w:rPr>
          <w:rFonts w:cstheme="minorHAnsi"/>
          <w:lang w:bidi="en-US"/>
        </w:rPr>
      </w:pPr>
      <w:r w:rsidRPr="000D0D0D">
        <w:rPr>
          <w:rFonts w:cstheme="minorHAnsi"/>
        </w:rPr>
        <w:t>Public works contracts (although agencies are encouraged to do so).</w:t>
      </w:r>
    </w:p>
    <w:p w14:paraId="5CBBD614" w14:textId="77777777" w:rsidR="000D0D0D" w:rsidRPr="000D0D0D" w:rsidRDefault="000D0D0D" w:rsidP="0051548B">
      <w:pPr>
        <w:pStyle w:val="ListParagraph"/>
        <w:numPr>
          <w:ilvl w:val="1"/>
          <w:numId w:val="7"/>
        </w:numPr>
        <w:spacing w:line="240" w:lineRule="auto"/>
        <w:rPr>
          <w:rFonts w:cstheme="minorHAnsi"/>
          <w:lang w:bidi="en-US"/>
        </w:rPr>
      </w:pPr>
      <w:r w:rsidRPr="000D0D0D">
        <w:rPr>
          <w:rFonts w:cstheme="minorHAnsi"/>
        </w:rPr>
        <w:t>Loan agreements.</w:t>
      </w:r>
    </w:p>
    <w:p w14:paraId="2D10B215" w14:textId="77777777" w:rsidR="000D0D0D" w:rsidRPr="000D0D0D" w:rsidRDefault="000D0D0D" w:rsidP="0051548B">
      <w:pPr>
        <w:pStyle w:val="ListParagraph"/>
        <w:numPr>
          <w:ilvl w:val="1"/>
          <w:numId w:val="7"/>
        </w:numPr>
        <w:spacing w:line="240" w:lineRule="auto"/>
        <w:rPr>
          <w:rFonts w:cstheme="minorHAnsi"/>
          <w:lang w:bidi="en-US"/>
        </w:rPr>
      </w:pPr>
      <w:r w:rsidRPr="000D0D0D">
        <w:rPr>
          <w:rFonts w:cstheme="minorHAnsi"/>
        </w:rPr>
        <w:t>Contracts exempt from disclosure under another state law.</w:t>
      </w:r>
    </w:p>
    <w:p w14:paraId="748C89EC" w14:textId="77777777" w:rsidR="000153F0" w:rsidRPr="000153F0" w:rsidRDefault="000D0D0D" w:rsidP="000153F0">
      <w:pPr>
        <w:pStyle w:val="ListParagraph"/>
        <w:numPr>
          <w:ilvl w:val="1"/>
          <w:numId w:val="7"/>
        </w:numPr>
        <w:spacing w:line="240" w:lineRule="auto"/>
        <w:rPr>
          <w:rFonts w:cstheme="minorHAnsi"/>
          <w:lang w:bidi="en-US"/>
        </w:rPr>
      </w:pPr>
      <w:r w:rsidRPr="000D0D0D">
        <w:rPr>
          <w:rFonts w:cstheme="minorHAnsi"/>
        </w:rPr>
        <w:t>Contracts specifically exempted by the DES director.</w:t>
      </w:r>
    </w:p>
    <w:p w14:paraId="4E9408B6" w14:textId="77777777" w:rsidR="00411CB8" w:rsidRDefault="007C1AB4" w:rsidP="000153F0">
      <w:pPr>
        <w:pStyle w:val="NoSpacing"/>
        <w:numPr>
          <w:ilvl w:val="0"/>
          <w:numId w:val="7"/>
        </w:numPr>
        <w:spacing w:before="120"/>
        <w:contextualSpacing/>
        <w:jc w:val="both"/>
        <w:rPr>
          <w:rFonts w:asciiTheme="minorHAnsi" w:hAnsiTheme="minorHAnsi" w:cstheme="minorHAnsi"/>
          <w:sz w:val="22"/>
          <w:szCs w:val="22"/>
        </w:rPr>
      </w:pPr>
      <w:commentRangeStart w:id="9"/>
      <w:r w:rsidRPr="00411CB8">
        <w:rPr>
          <w:rFonts w:asciiTheme="minorHAnsi" w:hAnsiTheme="minorHAnsi" w:cstheme="minorHAnsi"/>
          <w:b/>
          <w:sz w:val="22"/>
          <w:szCs w:val="22"/>
        </w:rPr>
        <w:t>Exemption</w:t>
      </w:r>
      <w:commentRangeEnd w:id="9"/>
      <w:r w:rsidR="006829AA">
        <w:rPr>
          <w:rStyle w:val="CommentReference"/>
          <w:rFonts w:asciiTheme="minorHAnsi" w:hAnsiTheme="minorHAnsi" w:cstheme="minorBidi"/>
          <w:lang w:bidi="ar-SA"/>
        </w:rPr>
        <w:commentReference w:id="9"/>
      </w:r>
      <w:r w:rsidR="00411CB8">
        <w:rPr>
          <w:rFonts w:asciiTheme="minorHAnsi" w:hAnsiTheme="minorHAnsi" w:cstheme="minorHAnsi"/>
          <w:b/>
          <w:sz w:val="22"/>
          <w:szCs w:val="22"/>
        </w:rPr>
        <w:t>.</w:t>
      </w:r>
      <w:r>
        <w:rPr>
          <w:rFonts w:asciiTheme="minorHAnsi" w:hAnsiTheme="minorHAnsi" w:cstheme="minorHAnsi"/>
          <w:sz w:val="22"/>
          <w:szCs w:val="22"/>
        </w:rPr>
        <w:t xml:space="preserve"> </w:t>
      </w:r>
    </w:p>
    <w:p w14:paraId="201F1033" w14:textId="77777777" w:rsidR="00C94FD5" w:rsidRPr="00EE4266" w:rsidRDefault="00416010" w:rsidP="00411CB8">
      <w:pPr>
        <w:pStyle w:val="NoSpacing"/>
        <w:spacing w:before="120"/>
        <w:ind w:left="360"/>
        <w:contextualSpacing/>
        <w:jc w:val="both"/>
        <w:rPr>
          <w:rFonts w:asciiTheme="minorHAnsi" w:hAnsiTheme="minorHAnsi" w:cstheme="minorHAnsi"/>
          <w:sz w:val="22"/>
          <w:szCs w:val="22"/>
        </w:rPr>
      </w:pPr>
      <w:r w:rsidRPr="00416010">
        <w:rPr>
          <w:rFonts w:asciiTheme="minorHAnsi" w:hAnsiTheme="minorHAnsi" w:cstheme="minorHAnsi"/>
          <w:sz w:val="22"/>
          <w:szCs w:val="22"/>
        </w:rPr>
        <w:t>Agencies may request a reporting exemption</w:t>
      </w:r>
      <w:r w:rsidR="00EE4266">
        <w:rPr>
          <w:rFonts w:asciiTheme="minorHAnsi" w:hAnsiTheme="minorHAnsi" w:cstheme="minorHAnsi"/>
          <w:sz w:val="22"/>
          <w:szCs w:val="22"/>
        </w:rPr>
        <w:t xml:space="preserve"> </w:t>
      </w:r>
      <w:r w:rsidR="00C94FD5" w:rsidRPr="00EE4266">
        <w:rPr>
          <w:rFonts w:asciiTheme="minorHAnsi" w:hAnsiTheme="minorHAnsi" w:cstheme="minorHAnsi"/>
          <w:sz w:val="22"/>
          <w:szCs w:val="22"/>
        </w:rPr>
        <w:t>for a specific contract or a category of contracts.</w:t>
      </w:r>
    </w:p>
    <w:p w14:paraId="62BD4573" w14:textId="6AFB318F" w:rsidR="0051548B" w:rsidRDefault="00416010" w:rsidP="000153F0">
      <w:pPr>
        <w:pStyle w:val="NoSpacing"/>
        <w:numPr>
          <w:ilvl w:val="1"/>
          <w:numId w:val="7"/>
        </w:numPr>
        <w:spacing w:before="120"/>
        <w:contextualSpacing/>
        <w:jc w:val="both"/>
        <w:rPr>
          <w:rFonts w:asciiTheme="minorHAnsi" w:hAnsiTheme="minorHAnsi" w:cstheme="minorHAnsi"/>
          <w:sz w:val="22"/>
          <w:szCs w:val="22"/>
        </w:rPr>
      </w:pPr>
      <w:r w:rsidRPr="00416010">
        <w:rPr>
          <w:rFonts w:asciiTheme="minorHAnsi" w:hAnsiTheme="minorHAnsi" w:cstheme="minorHAnsi"/>
          <w:sz w:val="22"/>
          <w:szCs w:val="22"/>
        </w:rPr>
        <w:t>The request should be in writing, addressed to the DES director, and signed by the agency head.</w:t>
      </w:r>
    </w:p>
    <w:p w14:paraId="41A9304A" w14:textId="58A737FF" w:rsidR="00473A4B" w:rsidRDefault="00473A4B" w:rsidP="00473A4B">
      <w:pPr>
        <w:pStyle w:val="NoSpacing"/>
        <w:numPr>
          <w:ilvl w:val="1"/>
          <w:numId w:val="7"/>
        </w:numPr>
        <w:spacing w:before="120"/>
        <w:contextualSpacing/>
        <w:jc w:val="both"/>
        <w:rPr>
          <w:rFonts w:asciiTheme="minorHAnsi" w:hAnsiTheme="minorHAnsi" w:cstheme="minorHAnsi"/>
          <w:sz w:val="22"/>
          <w:szCs w:val="22"/>
        </w:rPr>
      </w:pPr>
      <w:r w:rsidRPr="00473A4B">
        <w:rPr>
          <w:rFonts w:asciiTheme="minorHAnsi" w:hAnsiTheme="minorHAnsi" w:cstheme="minorHAnsi"/>
          <w:sz w:val="22"/>
          <w:szCs w:val="22"/>
        </w:rPr>
        <w:t>The request must include a detailed explanation of the proposed exemption, why the contract or contract category needs to be exempt, and how granting the request ali</w:t>
      </w:r>
      <w:r>
        <w:rPr>
          <w:rFonts w:asciiTheme="minorHAnsi" w:hAnsiTheme="minorHAnsi" w:cstheme="minorHAnsi"/>
          <w:sz w:val="22"/>
          <w:szCs w:val="22"/>
        </w:rPr>
        <w:t>gns with the intent of the law.</w:t>
      </w:r>
    </w:p>
    <w:p w14:paraId="121E2D37" w14:textId="77777777" w:rsidR="0062132F" w:rsidRDefault="0062132F" w:rsidP="0062132F">
      <w:pPr>
        <w:pStyle w:val="NoSpacing"/>
        <w:spacing w:before="120"/>
        <w:contextualSpacing/>
        <w:jc w:val="both"/>
        <w:rPr>
          <w:rFonts w:asciiTheme="minorHAnsi" w:hAnsiTheme="minorHAnsi" w:cstheme="minorHAnsi"/>
          <w:sz w:val="22"/>
          <w:szCs w:val="22"/>
        </w:rPr>
      </w:pPr>
    </w:p>
    <w:p w14:paraId="2AB941B1" w14:textId="77777777" w:rsidR="00411CB8" w:rsidRDefault="007C1AB4" w:rsidP="00CD07C1">
      <w:pPr>
        <w:pStyle w:val="NoSpacing"/>
        <w:numPr>
          <w:ilvl w:val="0"/>
          <w:numId w:val="7"/>
        </w:numPr>
        <w:spacing w:before="120"/>
        <w:contextualSpacing/>
        <w:jc w:val="both"/>
        <w:rPr>
          <w:rFonts w:asciiTheme="minorHAnsi" w:hAnsiTheme="minorHAnsi" w:cstheme="minorHAnsi"/>
          <w:sz w:val="22"/>
          <w:szCs w:val="22"/>
        </w:rPr>
      </w:pPr>
      <w:commentRangeStart w:id="10"/>
      <w:r w:rsidRPr="00411CB8">
        <w:rPr>
          <w:rFonts w:asciiTheme="minorHAnsi" w:hAnsiTheme="minorHAnsi" w:cstheme="minorHAnsi"/>
          <w:b/>
          <w:sz w:val="22"/>
          <w:szCs w:val="22"/>
        </w:rPr>
        <w:t>Compliance</w:t>
      </w:r>
      <w:r w:rsidR="00411CB8">
        <w:rPr>
          <w:rFonts w:asciiTheme="minorHAnsi" w:hAnsiTheme="minorHAnsi" w:cstheme="minorHAnsi"/>
          <w:b/>
          <w:sz w:val="22"/>
          <w:szCs w:val="22"/>
        </w:rPr>
        <w:t>.</w:t>
      </w:r>
      <w:r>
        <w:rPr>
          <w:rFonts w:asciiTheme="minorHAnsi" w:hAnsiTheme="minorHAnsi" w:cstheme="minorHAnsi"/>
          <w:sz w:val="22"/>
          <w:szCs w:val="22"/>
        </w:rPr>
        <w:t xml:space="preserve"> </w:t>
      </w:r>
      <w:commentRangeEnd w:id="10"/>
      <w:r w:rsidR="00473A4B">
        <w:rPr>
          <w:rStyle w:val="CommentReference"/>
          <w:rFonts w:asciiTheme="minorHAnsi" w:hAnsiTheme="minorHAnsi" w:cstheme="minorBidi"/>
          <w:lang w:bidi="ar-SA"/>
        </w:rPr>
        <w:commentReference w:id="10"/>
      </w:r>
    </w:p>
    <w:p w14:paraId="2019EB4F" w14:textId="77777777" w:rsidR="001A3532" w:rsidRDefault="0051548B" w:rsidP="00411CB8">
      <w:pPr>
        <w:pStyle w:val="NoSpacing"/>
        <w:spacing w:before="120"/>
        <w:ind w:left="360"/>
        <w:contextualSpacing/>
        <w:jc w:val="both"/>
        <w:rPr>
          <w:rFonts w:asciiTheme="minorHAnsi" w:hAnsiTheme="minorHAnsi" w:cstheme="minorHAnsi"/>
          <w:sz w:val="22"/>
          <w:szCs w:val="22"/>
        </w:rPr>
      </w:pPr>
      <w:r w:rsidRPr="0051548B">
        <w:rPr>
          <w:rFonts w:asciiTheme="minorHAnsi" w:hAnsiTheme="minorHAnsi" w:cstheme="minorHAnsi"/>
          <w:sz w:val="22"/>
          <w:szCs w:val="22"/>
        </w:rPr>
        <w:t xml:space="preserve">Agencies are expected to submit complete and timely contract reports. The agency’s record of compliance will be factored into an agency’s </w:t>
      </w:r>
      <w:commentRangeStart w:id="11"/>
      <w:r w:rsidR="003E5205">
        <w:rPr>
          <w:rFonts w:asciiTheme="minorHAnsi" w:hAnsiTheme="minorHAnsi" w:cstheme="minorHAnsi"/>
          <w:sz w:val="22"/>
          <w:szCs w:val="22"/>
        </w:rPr>
        <w:t>procurement risk assessment</w:t>
      </w:r>
      <w:r w:rsidR="007E3EAC">
        <w:rPr>
          <w:rFonts w:asciiTheme="minorHAnsi" w:hAnsiTheme="minorHAnsi" w:cstheme="minorHAnsi"/>
          <w:sz w:val="22"/>
          <w:szCs w:val="22"/>
        </w:rPr>
        <w:t>.</w:t>
      </w:r>
      <w:r w:rsidR="003E5205">
        <w:rPr>
          <w:rFonts w:asciiTheme="minorHAnsi" w:hAnsiTheme="minorHAnsi" w:cstheme="minorHAnsi"/>
          <w:sz w:val="22"/>
          <w:szCs w:val="22"/>
        </w:rPr>
        <w:t xml:space="preserve"> </w:t>
      </w:r>
      <w:commentRangeEnd w:id="11"/>
      <w:r w:rsidR="0017798B">
        <w:rPr>
          <w:rStyle w:val="CommentReference"/>
          <w:rFonts w:asciiTheme="minorHAnsi" w:hAnsiTheme="minorHAnsi" w:cstheme="minorBidi"/>
          <w:lang w:bidi="ar-SA"/>
        </w:rPr>
        <w:commentReference w:id="11"/>
      </w:r>
    </w:p>
    <w:p w14:paraId="1D64FE88" w14:textId="77777777" w:rsidR="001A3532" w:rsidRDefault="001A3532" w:rsidP="001A3532">
      <w:pPr>
        <w:pStyle w:val="NoSpacing"/>
        <w:spacing w:before="120"/>
        <w:contextualSpacing/>
        <w:jc w:val="both"/>
      </w:pPr>
    </w:p>
    <w:p w14:paraId="46857029" w14:textId="77777777" w:rsidR="00CD07C1" w:rsidRPr="001A3532" w:rsidRDefault="001A3532" w:rsidP="001A3532">
      <w:pPr>
        <w:pStyle w:val="NoSpacing"/>
        <w:spacing w:before="120"/>
        <w:contextualSpacing/>
        <w:jc w:val="both"/>
        <w:rPr>
          <w:rFonts w:asciiTheme="minorHAnsi" w:hAnsiTheme="minorHAnsi" w:cstheme="minorHAnsi"/>
          <w:sz w:val="22"/>
          <w:szCs w:val="22"/>
        </w:rPr>
      </w:pPr>
      <w:r>
        <w:rPr>
          <w:noProof/>
          <w:lang w:bidi="ar-SA"/>
        </w:rPr>
        <mc:AlternateContent>
          <mc:Choice Requires="wps">
            <w:drawing>
              <wp:inline distT="0" distB="0" distL="0" distR="0" wp14:anchorId="22F397DB" wp14:editId="76156640">
                <wp:extent cx="6400800" cy="635"/>
                <wp:effectExtent l="0" t="0" r="19050" b="18415"/>
                <wp:docPr id="6" name="Freeform 6"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635"/>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A5AF3B1" id="Freeform 6" o:spid="_x0000_s1026" alt="Title: Border - Description: This is a boarder used to frame the policy." style="width:7in;height:.05pt;visibility:visible;mso-wrap-style:square;mso-left-percent:-10001;mso-top-percent:-10001;mso-position-horizontal:absolute;mso-position-horizontal-relative:char;mso-position-vertical:absolute;mso-position-vertical-relative:line;mso-left-percent:-10001;mso-top-percent:-10001;v-text-anchor:top" coordsize="1013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" path="m,l10138,e" filled="f" strokeweight=".48pt">
                <v:path arrowok="t" o:connecttype="custom" o:connectlocs="0,0;6400800,0" o:connectangles="0,0"/>
                <w10:anchorlock/>
              </v:shape>
            </w:pict>
          </mc:Fallback>
        </mc:AlternateContent>
      </w:r>
      <w:r w:rsidR="00CD07C1" w:rsidRPr="001A3532">
        <w:rPr>
          <w:rStyle w:val="Heading1Char"/>
        </w:rPr>
        <w:t>Procedures</w:t>
      </w:r>
    </w:p>
    <w:p w14:paraId="082CBD0C" w14:textId="77777777" w:rsidR="001A3532" w:rsidRDefault="00CD07C1" w:rsidP="001A3532">
      <w:commentRangeStart w:id="12"/>
      <w:r>
        <w:rPr>
          <w:b/>
        </w:rPr>
        <w:t>Procedure</w:t>
      </w:r>
      <w:r w:rsidRPr="00B17253">
        <w:rPr>
          <w:b/>
        </w:rPr>
        <w:t>:</w:t>
      </w:r>
      <w:r w:rsidRPr="00B17253">
        <w:t xml:space="preserve">  </w:t>
      </w:r>
      <w:r>
        <w:t>Enterprise Services Procedure #PRO-DES-210-0</w:t>
      </w:r>
      <w:r w:rsidR="00414AB8">
        <w:t>1</w:t>
      </w:r>
      <w:commentRangeEnd w:id="12"/>
      <w:r w:rsidR="0017798B">
        <w:rPr>
          <w:rStyle w:val="CommentReference"/>
        </w:rPr>
        <w:commentReference w:id="12"/>
      </w:r>
    </w:p>
    <w:p w14:paraId="375D3B45" w14:textId="77777777" w:rsidR="000F275D" w:rsidRDefault="001A3532" w:rsidP="001A3532">
      <w:r>
        <w:rPr>
          <w:noProof/>
        </w:rPr>
        <mc:AlternateContent>
          <mc:Choice Requires="wps">
            <w:drawing>
              <wp:inline distT="0" distB="0" distL="0" distR="0" wp14:anchorId="2E00A035" wp14:editId="690EEDF0">
                <wp:extent cx="6400800" cy="635"/>
                <wp:effectExtent l="0" t="0" r="19050" b="18415"/>
                <wp:docPr id="7" name="Freeform 7"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635"/>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66D3F12" id="Freeform 7" o:spid="_x0000_s1026" alt="Title: Border - Description: This is a boarder used to frame the policy." style="width:7in;height:.05pt;visibility:visible;mso-wrap-style:square;mso-left-percent:-10001;mso-top-percent:-10001;mso-position-horizontal:absolute;mso-position-horizontal-relative:char;mso-position-vertical:absolute;mso-position-vertical-relative:line;mso-left-percent:-10001;mso-top-percent:-10001;v-text-anchor:top" coordsize="1013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" path="m,l10138,e" filled="f" strokeweight=".48pt">
                <v:path arrowok="t" o:connecttype="custom" o:connectlocs="0,0;6400800,0" o:connectangles="0,0"/>
                <w10:anchorlock/>
              </v:shape>
            </w:pict>
          </mc:Fallback>
        </mc:AlternateContent>
      </w:r>
      <w:r w:rsidR="000F275D" w:rsidRPr="001A3532">
        <w:rPr>
          <w:rStyle w:val="Heading1Char"/>
        </w:rPr>
        <w:t>Frequently Asked Questions</w:t>
      </w:r>
    </w:p>
    <w:p w14:paraId="0EB78B9A" w14:textId="77777777" w:rsidR="001A3532" w:rsidRDefault="000F275D" w:rsidP="001A3532">
      <w:pPr>
        <w:spacing w:after="0" w:line="240" w:lineRule="auto"/>
        <w:rPr>
          <w:rFonts w:cstheme="minorHAnsi"/>
          <w:lang w:eastAsia="zh-TW" w:bidi="en-US"/>
        </w:rPr>
      </w:pPr>
      <w:r>
        <w:rPr>
          <w:b/>
        </w:rPr>
        <w:t>FAQ</w:t>
      </w:r>
      <w:r>
        <w:rPr>
          <w:rFonts w:cstheme="minorHAnsi"/>
          <w:lang w:eastAsia="zh-TW" w:bidi="en-US"/>
        </w:rPr>
        <w:t xml:space="preserve">:  </w:t>
      </w:r>
      <w:r w:rsidR="00C74B52">
        <w:rPr>
          <w:rFonts w:cstheme="minorHAnsi"/>
          <w:lang w:eastAsia="zh-TW" w:bidi="en-US"/>
        </w:rPr>
        <w:t>Agency Contract Reporting</w:t>
      </w:r>
      <w:r w:rsidRPr="00C74B52">
        <w:rPr>
          <w:rFonts w:cstheme="minorHAnsi"/>
          <w:lang w:eastAsia="zh-TW" w:bidi="en-US"/>
        </w:rPr>
        <w:t xml:space="preserve"> Policy FAQ</w:t>
      </w:r>
      <w:r w:rsidR="0051548B">
        <w:rPr>
          <w:rFonts w:cstheme="minorHAnsi"/>
          <w:lang w:eastAsia="zh-TW" w:bidi="en-US"/>
        </w:rPr>
        <w:t xml:space="preserve"> </w:t>
      </w:r>
    </w:p>
    <w:p w14:paraId="32735C00" w14:textId="77777777" w:rsidR="002D4956" w:rsidRPr="001A3532" w:rsidRDefault="001A3532" w:rsidP="001A3532">
      <w:pPr>
        <w:spacing w:after="0" w:line="240" w:lineRule="auto"/>
        <w:rPr>
          <w:rFonts w:cstheme="minorHAnsi"/>
          <w:lang w:eastAsia="zh-TW" w:bidi="en-US"/>
        </w:rPr>
      </w:pPr>
      <w:r>
        <w:rPr>
          <w:noProof/>
        </w:rPr>
        <mc:AlternateContent>
          <mc:Choice Requires="wps">
            <w:drawing>
              <wp:inline distT="0" distB="0" distL="0" distR="0" wp14:anchorId="7CCB0479" wp14:editId="13779291">
                <wp:extent cx="6400800" cy="635"/>
                <wp:effectExtent l="0" t="0" r="19050" b="18415"/>
                <wp:docPr id="8" name="Freeform 8" descr="This is a boarder used to frame the policy." title="Bor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635"/>
                        </a:xfrm>
                        <a:custGeom>
                          <a:avLst/>
                          <a:gdLst>
                            <a:gd name="T0" fmla="+- 0 1080 1080"/>
                            <a:gd name="T1" fmla="*/ T0 w 10138"/>
                            <a:gd name="T2" fmla="+- 0 11218 1080"/>
                            <a:gd name="T3" fmla="*/ T2 w 10138"/>
                          </a:gdLst>
                          <a:ahLst/>
                          <a:cxnLst>
                            <a:cxn ang="0">
                              <a:pos x="T1" y="0"/>
                            </a:cxn>
                            <a:cxn ang="0">
                              <a:pos x="T3" y="0"/>
                            </a:cxn>
                          </a:cxnLst>
                          <a:rect l="0" t="0" r="r" b="b"/>
                          <a:pathLst>
                            <a:path w="10138">
                              <a:moveTo>
                                <a:pt x="0" y="0"/>
                              </a:moveTo>
                              <a:lnTo>
                                <a:pt x="1013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5F22950" id="Freeform 8" o:spid="_x0000_s1026" alt="Title: Border - Description: This is a boarder used to frame the policy." style="width:7in;height:.05pt;visibility:visible;mso-wrap-style:square;mso-left-percent:-10001;mso-top-percent:-10001;mso-position-horizontal:absolute;mso-position-horizontal-relative:char;mso-position-vertical:absolute;mso-position-vertical-relative:line;mso-left-percent:-10001;mso-top-percent:-10001;v-text-anchor:top" coordsize="1013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" path="m,l10138,e" filled="f" strokeweight=".48pt">
                <v:path arrowok="t" o:connecttype="custom" o:connectlocs="0,0;6400800,0" o:connectangles="0,0"/>
                <w10:anchorlock/>
              </v:shape>
            </w:pict>
          </mc:Fallback>
        </mc:AlternateContent>
      </w:r>
      <w:r w:rsidR="00AE7A2A" w:rsidRPr="001A3532">
        <w:rPr>
          <w:rStyle w:val="Heading1Char"/>
        </w:rPr>
        <w:t>H</w:t>
      </w:r>
      <w:r w:rsidR="002D4956" w:rsidRPr="001A3532">
        <w:rPr>
          <w:rStyle w:val="Heading1Char"/>
        </w:rPr>
        <w:t>istory</w:t>
      </w:r>
    </w:p>
    <w:p w14:paraId="0E9D49AA" w14:textId="77777777" w:rsidR="00A44C37" w:rsidRPr="00A44C37" w:rsidRDefault="00A44C37" w:rsidP="003E2315">
      <w:pPr>
        <w:pStyle w:val="Heading2"/>
        <w:ind w:left="360"/>
      </w:pPr>
      <w:r>
        <w:t>Adopted</w:t>
      </w:r>
    </w:p>
    <w:p w14:paraId="431FB42F" w14:textId="77777777" w:rsidR="00A44C37" w:rsidRPr="00F640B1" w:rsidRDefault="000A6928" w:rsidP="003E2315">
      <w:pPr>
        <w:spacing w:line="240" w:lineRule="auto"/>
        <w:ind w:firstLine="360"/>
        <w:rPr>
          <w:rFonts w:cstheme="minorHAnsi"/>
          <w:szCs w:val="20"/>
          <w:lang w:bidi="en-US"/>
        </w:rPr>
      </w:pPr>
      <w:r>
        <w:rPr>
          <w:rFonts w:cstheme="minorHAnsi"/>
          <w:szCs w:val="20"/>
          <w:lang w:bidi="en-US"/>
        </w:rPr>
        <w:t>TBD</w:t>
      </w:r>
    </w:p>
    <w:p w14:paraId="3250361B" w14:textId="77777777" w:rsidR="002D4956" w:rsidRPr="002D4956" w:rsidRDefault="00AE7A2A" w:rsidP="003E2315">
      <w:pPr>
        <w:pStyle w:val="Heading2"/>
        <w:ind w:left="360"/>
      </w:pPr>
      <w:r>
        <w:t>Replaces</w:t>
      </w:r>
    </w:p>
    <w:p w14:paraId="4A388B24" w14:textId="77777777" w:rsidR="002D4956" w:rsidRPr="002D4956" w:rsidRDefault="00AE7A2A" w:rsidP="002D4956">
      <w:pPr>
        <w:spacing w:line="240" w:lineRule="auto"/>
        <w:ind w:left="360"/>
        <w:rPr>
          <w:rFonts w:ascii="Arial" w:hAnsi="Arial" w:cstheme="minorHAnsi"/>
          <w:sz w:val="20"/>
          <w:szCs w:val="20"/>
          <w:lang w:bidi="en-US"/>
        </w:rPr>
      </w:pPr>
      <w:r w:rsidRPr="009C7FB8">
        <w:rPr>
          <w:rFonts w:cstheme="minorHAnsi"/>
        </w:rPr>
        <w:t>DES-</w:t>
      </w:r>
      <w:r w:rsidR="00C74B52">
        <w:rPr>
          <w:rFonts w:cstheme="minorHAnsi"/>
        </w:rPr>
        <w:t>210-01</w:t>
      </w:r>
      <w:r w:rsidRPr="009C7FB8">
        <w:rPr>
          <w:rFonts w:cstheme="minorHAnsi"/>
        </w:rPr>
        <w:t xml:space="preserve"> </w:t>
      </w:r>
      <w:r w:rsidR="00C74B52">
        <w:rPr>
          <w:rFonts w:cstheme="minorHAnsi"/>
        </w:rPr>
        <w:t>Agency Contract Reporting</w:t>
      </w:r>
      <w:r w:rsidR="00D1761C">
        <w:rPr>
          <w:rFonts w:cstheme="minorHAnsi"/>
        </w:rPr>
        <w:t xml:space="preserve"> (Rev. </w:t>
      </w:r>
      <w:r w:rsidR="00C74B52">
        <w:rPr>
          <w:rFonts w:cstheme="minorHAnsi"/>
        </w:rPr>
        <w:t>03-09</w:t>
      </w:r>
      <w:r w:rsidR="00D1761C">
        <w:rPr>
          <w:rFonts w:cstheme="minorHAnsi"/>
        </w:rPr>
        <w:t>-15)</w:t>
      </w:r>
    </w:p>
    <w:sectPr w:rsidR="002D4956" w:rsidRPr="002D4956" w:rsidSect="000E772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26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504F188" w14:textId="37D5D788" w:rsidR="004C6322" w:rsidRDefault="004C6322" w:rsidP="004C6322">
      <w:pPr>
        <w:pStyle w:val="CommentText"/>
        <w:numPr>
          <w:ilvl w:val="0"/>
          <w:numId w:val="12"/>
        </w:numPr>
      </w:pPr>
      <w:r>
        <w:rPr>
          <w:rStyle w:val="CommentReference"/>
        </w:rPr>
        <w:annotationRef/>
      </w:r>
      <w:r w:rsidR="0034633A">
        <w:t xml:space="preserve"> T</w:t>
      </w:r>
      <w:r w:rsidR="00A43213">
        <w:t xml:space="preserve">he introduction </w:t>
      </w:r>
      <w:r w:rsidR="0034633A">
        <w:t xml:space="preserve">has been revised </w:t>
      </w:r>
      <w:r>
        <w:t>to the new policy format</w:t>
      </w:r>
      <w:r w:rsidR="00A43213">
        <w:t>.</w:t>
      </w:r>
    </w:p>
  </w:comment>
  <w:comment w:id="2" w:author="Author" w:initials="A">
    <w:p w14:paraId="79B2B43C" w14:textId="2C9804EB" w:rsidR="004C6322" w:rsidRDefault="004C6322" w:rsidP="00A43213">
      <w:pPr>
        <w:pStyle w:val="CommentText"/>
        <w:numPr>
          <w:ilvl w:val="0"/>
          <w:numId w:val="12"/>
        </w:numPr>
      </w:pPr>
      <w:r>
        <w:rPr>
          <w:rStyle w:val="CommentReference"/>
        </w:rPr>
        <w:annotationRef/>
      </w:r>
      <w:r w:rsidR="0017798B">
        <w:t xml:space="preserve"> </w:t>
      </w:r>
      <w:r>
        <w:t>The language in the</w:t>
      </w:r>
      <w:r w:rsidR="00A43213">
        <w:t xml:space="preserve"> original section</w:t>
      </w:r>
      <w:r>
        <w:t xml:space="preserve"> (1)</w:t>
      </w:r>
      <w:r w:rsidR="00A43213">
        <w:t xml:space="preserve"> purpose </w:t>
      </w:r>
      <w:r>
        <w:t>has been combined with</w:t>
      </w:r>
      <w:r w:rsidR="00A43213">
        <w:t xml:space="preserve"> section</w:t>
      </w:r>
      <w:r>
        <w:t xml:space="preserve"> (3) Contract Reporting Purpose </w:t>
      </w:r>
      <w:r w:rsidR="0034633A">
        <w:t>for clarity</w:t>
      </w:r>
      <w:r w:rsidR="00A43213">
        <w:t xml:space="preserve">. It has also been re-written into paragraph form to </w:t>
      </w:r>
      <w:r>
        <w:t xml:space="preserve">fit the new policy format. </w:t>
      </w:r>
    </w:p>
  </w:comment>
  <w:comment w:id="3" w:author="Author" w:initials="A">
    <w:p w14:paraId="57B96D16" w14:textId="306AB777" w:rsidR="00A43213" w:rsidRDefault="00A43213" w:rsidP="00A43213">
      <w:pPr>
        <w:pStyle w:val="CommentText"/>
        <w:numPr>
          <w:ilvl w:val="0"/>
          <w:numId w:val="12"/>
        </w:numPr>
      </w:pPr>
      <w:r>
        <w:rPr>
          <w:rStyle w:val="CommentReference"/>
        </w:rPr>
        <w:annotationRef/>
      </w:r>
      <w:r w:rsidR="0017798B">
        <w:t xml:space="preserve"> </w:t>
      </w:r>
      <w:r>
        <w:t xml:space="preserve">This section </w:t>
      </w:r>
      <w:r w:rsidR="0034633A">
        <w:t>adapted from the original section</w:t>
      </w:r>
      <w:r>
        <w:t xml:space="preserve"> (4) Contract Reporting General Requirements</w:t>
      </w:r>
      <w:r w:rsidR="0034633A">
        <w:t>. It</w:t>
      </w:r>
      <w:r>
        <w:t xml:space="preserve"> has been revised to fit the new policy format.</w:t>
      </w:r>
    </w:p>
  </w:comment>
  <w:comment w:id="4" w:author="Author" w:initials="A">
    <w:p w14:paraId="7F9AD89A" w14:textId="28D2C112" w:rsidR="00A43213" w:rsidRPr="00A43213" w:rsidRDefault="00A43213" w:rsidP="00A43213">
      <w:pPr>
        <w:pStyle w:val="CommentText"/>
        <w:numPr>
          <w:ilvl w:val="0"/>
          <w:numId w:val="12"/>
        </w:numPr>
      </w:pPr>
      <w:r>
        <w:rPr>
          <w:rStyle w:val="CommentReference"/>
        </w:rPr>
        <w:annotationRef/>
      </w:r>
      <w:r w:rsidR="0017798B">
        <w:t xml:space="preserve"> </w:t>
      </w:r>
      <w:r>
        <w:t xml:space="preserve">This is a proposed change </w:t>
      </w:r>
      <w:r w:rsidR="00351132">
        <w:t>to improve transparency</w:t>
      </w:r>
      <w:r>
        <w:t xml:space="preserve">: agencies will report </w:t>
      </w:r>
      <w:r>
        <w:rPr>
          <w:b/>
        </w:rPr>
        <w:t>all contracts</w:t>
      </w:r>
      <w:r>
        <w:t xml:space="preserve"> that were ac</w:t>
      </w:r>
      <w:r w:rsidR="0017798B">
        <w:t>tive during the reporting year</w:t>
      </w:r>
      <w:r w:rsidR="00351132">
        <w:t>.</w:t>
      </w:r>
      <w:r w:rsidR="0017798B">
        <w:t xml:space="preserve"> </w:t>
      </w:r>
    </w:p>
  </w:comment>
  <w:comment w:id="5" w:author="Author" w:initials="A">
    <w:p w14:paraId="46D6B1FC" w14:textId="22E17609" w:rsidR="009F0017" w:rsidRDefault="009F0017" w:rsidP="009F0017">
      <w:pPr>
        <w:pStyle w:val="CommentText"/>
        <w:numPr>
          <w:ilvl w:val="0"/>
          <w:numId w:val="12"/>
        </w:numPr>
      </w:pPr>
      <w:r>
        <w:rPr>
          <w:rStyle w:val="CommentReference"/>
        </w:rPr>
        <w:annotationRef/>
      </w:r>
      <w:r w:rsidR="0034633A">
        <w:t xml:space="preserve"> All definitions are now included in the </w:t>
      </w:r>
      <w:r w:rsidR="00785C20">
        <w:t xml:space="preserve">relevant </w:t>
      </w:r>
      <w:r w:rsidR="0034633A">
        <w:t>section of the</w:t>
      </w:r>
      <w:r>
        <w:t xml:space="preserve"> policy, instead of </w:t>
      </w:r>
      <w:r w:rsidR="0034633A">
        <w:t>in</w:t>
      </w:r>
      <w:r>
        <w:t xml:space="preserve"> a separate section </w:t>
      </w:r>
      <w:r w:rsidR="00351132">
        <w:t>for</w:t>
      </w:r>
      <w:r w:rsidR="00785C20">
        <w:t xml:space="preserve"> definitions [</w:t>
      </w:r>
      <w:r>
        <w:t xml:space="preserve">section </w:t>
      </w:r>
      <w:r w:rsidR="00785C20">
        <w:t>(8)</w:t>
      </w:r>
      <w:r>
        <w:t xml:space="preserve"> of the</w:t>
      </w:r>
      <w:r w:rsidR="0034633A">
        <w:t xml:space="preserve"> original</w:t>
      </w:r>
      <w:r w:rsidR="00785C20">
        <w:t xml:space="preserve"> policy]</w:t>
      </w:r>
      <w:r>
        <w:t>.</w:t>
      </w:r>
      <w:r w:rsidR="00785C20">
        <w:t xml:space="preserve"> </w:t>
      </w:r>
    </w:p>
  </w:comment>
  <w:comment w:id="6" w:author="Author" w:initials="A">
    <w:p w14:paraId="7274968F" w14:textId="38776A03" w:rsidR="008A74BD" w:rsidRDefault="008A74BD" w:rsidP="008A74BD">
      <w:pPr>
        <w:pStyle w:val="CommentText"/>
        <w:numPr>
          <w:ilvl w:val="0"/>
          <w:numId w:val="12"/>
        </w:numPr>
      </w:pPr>
      <w:r>
        <w:rPr>
          <w:rStyle w:val="CommentReference"/>
        </w:rPr>
        <w:annotationRef/>
      </w:r>
      <w:r>
        <w:t xml:space="preserve"> This section is adapted from the original section (6) Contract Reporting Exemptions.</w:t>
      </w:r>
      <w:r w:rsidR="00785C20">
        <w:t xml:space="preserve"> The name of the section has been changed</w:t>
      </w:r>
      <w:r w:rsidR="00351132">
        <w:t xml:space="preserve"> </w:t>
      </w:r>
      <w:r w:rsidR="00785C20">
        <w:t xml:space="preserve">to </w:t>
      </w:r>
      <w:r w:rsidR="00351132">
        <w:t>“</w:t>
      </w:r>
      <w:r w:rsidR="00785C20">
        <w:t>Exceptions</w:t>
      </w:r>
      <w:r w:rsidR="00351132">
        <w:t>”</w:t>
      </w:r>
      <w:r w:rsidR="00785C20">
        <w:t xml:space="preserve"> for clarity.</w:t>
      </w:r>
    </w:p>
  </w:comment>
  <w:comment w:id="7" w:author="Author" w:initials="A">
    <w:p w14:paraId="7DC0EDA6" w14:textId="2F409B9E" w:rsidR="008A74BD" w:rsidRDefault="008A74BD" w:rsidP="008A74BD">
      <w:pPr>
        <w:pStyle w:val="CommentText"/>
        <w:numPr>
          <w:ilvl w:val="0"/>
          <w:numId w:val="12"/>
        </w:numPr>
      </w:pPr>
      <w:r>
        <w:rPr>
          <w:rStyle w:val="CommentReference"/>
        </w:rPr>
        <w:annotationRef/>
      </w:r>
      <w:r>
        <w:t xml:space="preserve"> Three items have been removed from the exceptions list</w:t>
      </w:r>
      <w:r w:rsidR="0017798B">
        <w:t xml:space="preserve"> to increase transparency</w:t>
      </w:r>
      <w:r>
        <w:t>:</w:t>
      </w:r>
    </w:p>
    <w:p w14:paraId="6D69E353" w14:textId="77777777" w:rsidR="008A74BD" w:rsidRDefault="008A74BD" w:rsidP="008A74BD">
      <w:pPr>
        <w:pStyle w:val="CommentText"/>
        <w:numPr>
          <w:ilvl w:val="0"/>
          <w:numId w:val="13"/>
        </w:numPr>
      </w:pPr>
      <w:r>
        <w:t xml:space="preserve"> #5 (Non-fiscal agreements which are agreements that do not include a monetary component such as a data sharing agreement or confidentiality agreement) </w:t>
      </w:r>
    </w:p>
    <w:p w14:paraId="1242E842" w14:textId="77777777" w:rsidR="008A74BD" w:rsidRDefault="008A74BD" w:rsidP="008A74BD">
      <w:pPr>
        <w:pStyle w:val="CommentText"/>
        <w:numPr>
          <w:ilvl w:val="0"/>
          <w:numId w:val="13"/>
        </w:numPr>
      </w:pPr>
      <w:r>
        <w:t xml:space="preserve"> #6 (Interlocal agreements and interagency agreements)</w:t>
      </w:r>
    </w:p>
    <w:p w14:paraId="2BD4DE41" w14:textId="77777777" w:rsidR="008A74BD" w:rsidRDefault="008A74BD" w:rsidP="008A74BD">
      <w:pPr>
        <w:pStyle w:val="CommentText"/>
        <w:numPr>
          <w:ilvl w:val="0"/>
          <w:numId w:val="13"/>
        </w:numPr>
      </w:pPr>
      <w:r>
        <w:t xml:space="preserve"> #7 (Grant and sub-grant agreements)</w:t>
      </w:r>
    </w:p>
  </w:comment>
  <w:comment w:id="8" w:author="Author" w:initials="A">
    <w:p w14:paraId="174E21D4" w14:textId="07464D4D" w:rsidR="009F0017" w:rsidRDefault="009F0017" w:rsidP="009F0017">
      <w:pPr>
        <w:pStyle w:val="CommentText"/>
        <w:numPr>
          <w:ilvl w:val="0"/>
          <w:numId w:val="12"/>
        </w:numPr>
      </w:pPr>
      <w:r>
        <w:rPr>
          <w:rStyle w:val="CommentReference"/>
        </w:rPr>
        <w:annotationRef/>
      </w:r>
      <w:r w:rsidR="0017798B">
        <w:t xml:space="preserve"> </w:t>
      </w:r>
      <w:r w:rsidR="005328B4">
        <w:t>This statement has been r</w:t>
      </w:r>
      <w:r w:rsidR="0017798B">
        <w:t>e-worded to provide c</w:t>
      </w:r>
      <w:r>
        <w:t>larity</w:t>
      </w:r>
      <w:r w:rsidR="005328B4">
        <w:t>.</w:t>
      </w:r>
    </w:p>
  </w:comment>
  <w:comment w:id="9" w:author="Author" w:initials="A">
    <w:p w14:paraId="13FBE288" w14:textId="2C33EA53" w:rsidR="006829AA" w:rsidRDefault="006829AA" w:rsidP="00473A4B">
      <w:pPr>
        <w:pStyle w:val="CommentText"/>
        <w:numPr>
          <w:ilvl w:val="0"/>
          <w:numId w:val="12"/>
        </w:numPr>
      </w:pPr>
      <w:r>
        <w:rPr>
          <w:rStyle w:val="CommentReference"/>
        </w:rPr>
        <w:annotationRef/>
      </w:r>
      <w:r>
        <w:t xml:space="preserve"> This section is adapted from the original section (7) R</w:t>
      </w:r>
      <w:r w:rsidR="00473A4B">
        <w:t>equest for Reporting Exemptions and no changes have been made.</w:t>
      </w:r>
    </w:p>
  </w:comment>
  <w:comment w:id="10" w:author="Author" w:initials="A">
    <w:p w14:paraId="7E34C0DE" w14:textId="1401AE6E" w:rsidR="00473A4B" w:rsidRDefault="00473A4B" w:rsidP="0017798B">
      <w:pPr>
        <w:pStyle w:val="CommentText"/>
        <w:numPr>
          <w:ilvl w:val="0"/>
          <w:numId w:val="12"/>
        </w:numPr>
      </w:pPr>
      <w:r>
        <w:rPr>
          <w:rStyle w:val="CommentReference"/>
        </w:rPr>
        <w:annotationRef/>
      </w:r>
      <w:r w:rsidR="0017798B">
        <w:t xml:space="preserve"> </w:t>
      </w:r>
      <w:r w:rsidRPr="00473A4B">
        <w:t>This section is adap</w:t>
      </w:r>
      <w:r>
        <w:t>ted from the original section (9</w:t>
      </w:r>
      <w:r w:rsidRPr="00473A4B">
        <w:t xml:space="preserve">) </w:t>
      </w:r>
      <w:r>
        <w:t>Compliance</w:t>
      </w:r>
      <w:r w:rsidR="0017798B">
        <w:t>.</w:t>
      </w:r>
    </w:p>
  </w:comment>
  <w:comment w:id="11" w:author="Author" w:initials="A">
    <w:p w14:paraId="1F8D6118" w14:textId="378FC57D" w:rsidR="0017798B" w:rsidRDefault="0017798B" w:rsidP="0017798B">
      <w:pPr>
        <w:pStyle w:val="CommentText"/>
        <w:numPr>
          <w:ilvl w:val="0"/>
          <w:numId w:val="12"/>
        </w:numPr>
      </w:pPr>
      <w:r>
        <w:rPr>
          <w:rStyle w:val="CommentReference"/>
        </w:rPr>
        <w:annotationRef/>
      </w:r>
      <w:r>
        <w:t xml:space="preserve"> The previous policy stated that, “The agency’s record of compliance will be factored into an </w:t>
      </w:r>
      <w:r w:rsidRPr="0017798B">
        <w:t>agency’s</w:t>
      </w:r>
      <w:r w:rsidRPr="0017798B">
        <w:rPr>
          <w:b/>
        </w:rPr>
        <w:t xml:space="preserve"> risk rating.</w:t>
      </w:r>
      <w:r>
        <w:t>” The term “risk rating” is no longer used for the procurement risk assessment, so this language has been modified.</w:t>
      </w:r>
    </w:p>
  </w:comment>
  <w:comment w:id="12" w:author="Author" w:initials="A">
    <w:p w14:paraId="21981EAF" w14:textId="02904B38" w:rsidR="0017798B" w:rsidRDefault="0017798B" w:rsidP="0017798B">
      <w:pPr>
        <w:pStyle w:val="CommentText"/>
        <w:numPr>
          <w:ilvl w:val="0"/>
          <w:numId w:val="12"/>
        </w:numPr>
      </w:pPr>
      <w:r>
        <w:rPr>
          <w:rStyle w:val="CommentReference"/>
        </w:rPr>
        <w:annotationRef/>
      </w:r>
      <w:r>
        <w:t xml:space="preserve"> This is a new document that was created to provide clarity and improve ease of reporting and compliance. The previous policy did not include an accompanying procedure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04F188" w15:done="0"/>
  <w15:commentEx w15:paraId="79B2B43C" w15:done="0"/>
  <w15:commentEx w15:paraId="57B96D16" w15:done="0"/>
  <w15:commentEx w15:paraId="7F9AD89A" w15:done="0"/>
  <w15:commentEx w15:paraId="46D6B1FC" w15:done="0"/>
  <w15:commentEx w15:paraId="7274968F" w15:done="0"/>
  <w15:commentEx w15:paraId="2BD4DE41" w15:done="0"/>
  <w15:commentEx w15:paraId="174E21D4" w15:done="0"/>
  <w15:commentEx w15:paraId="13FBE288" w15:done="0"/>
  <w15:commentEx w15:paraId="7E34C0DE" w15:done="0"/>
  <w15:commentEx w15:paraId="1F8D6118" w15:done="0"/>
  <w15:commentEx w15:paraId="21981EA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8451" w14:textId="77777777" w:rsidR="006378E3" w:rsidRDefault="006378E3" w:rsidP="005A2388">
      <w:pPr>
        <w:spacing w:after="0" w:line="240" w:lineRule="auto"/>
      </w:pPr>
      <w:r>
        <w:separator/>
      </w:r>
    </w:p>
  </w:endnote>
  <w:endnote w:type="continuationSeparator" w:id="0">
    <w:p w14:paraId="4E15F921" w14:textId="77777777" w:rsidR="006378E3" w:rsidRDefault="006378E3"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AB29" w14:textId="77777777" w:rsidR="000D6461" w:rsidRDefault="000D6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F7EA" w14:textId="77777777" w:rsidR="000D6461" w:rsidRDefault="000D6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A5B7" w14:textId="77777777" w:rsidR="000D6461" w:rsidRDefault="000D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7115A" w14:textId="77777777" w:rsidR="006378E3" w:rsidRDefault="006378E3" w:rsidP="005A2388">
      <w:pPr>
        <w:spacing w:after="0" w:line="240" w:lineRule="auto"/>
      </w:pPr>
      <w:r>
        <w:separator/>
      </w:r>
    </w:p>
  </w:footnote>
  <w:footnote w:type="continuationSeparator" w:id="0">
    <w:p w14:paraId="6AAAD26F" w14:textId="77777777" w:rsidR="006378E3" w:rsidRDefault="006378E3"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DF97" w14:textId="77777777" w:rsidR="000D6461" w:rsidRDefault="000D6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A078" w14:textId="77777777" w:rsidR="000E7729" w:rsidRDefault="003D08C4">
    <w:pPr>
      <w:pStyle w:val="Header"/>
    </w:pPr>
    <w:sdt>
      <w:sdtPr>
        <w:id w:val="1170682620"/>
        <w:docPartObj>
          <w:docPartGallery w:val="Watermarks"/>
          <w:docPartUnique/>
        </w:docPartObj>
      </w:sdtPr>
      <w:sdtEndPr/>
      <w:sdtContent>
        <w:r>
          <w:rPr>
            <w:noProof/>
          </w:rPr>
          <w:pict w14:anchorId="200D4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60AA9">
      <w:rPr>
        <w:rFonts w:ascii="Times New Roman"/>
        <w:noProof/>
        <w:sz w:val="20"/>
      </w:rPr>
      <w:drawing>
        <wp:inline distT="0" distB="0" distL="0" distR="0" wp14:anchorId="381FA685" wp14:editId="31441422">
          <wp:extent cx="2162708" cy="365759"/>
          <wp:effectExtent l="0" t="0" r="0" b="0"/>
          <wp:docPr id="1" name="image1.jpeg" descr="Department of Enterprise Services orange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62708" cy="3657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4740" w14:textId="77777777" w:rsidR="00295C76" w:rsidRDefault="00295C76">
    <w:pPr>
      <w:pStyle w:val="Header"/>
    </w:pPr>
    <w:r w:rsidRPr="00D0246A">
      <w:rPr>
        <w:rFonts w:cstheme="minorHAnsi"/>
        <w:noProof/>
      </w:rPr>
      <w:drawing>
        <wp:inline distT="0" distB="0" distL="0" distR="0" wp14:anchorId="1BC531B3" wp14:editId="77104F3B">
          <wp:extent cx="2162695" cy="365760"/>
          <wp:effectExtent l="0" t="0" r="9525" b="0"/>
          <wp:docPr id="3" name="Picture 3"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57A3"/>
    <w:multiLevelType w:val="hybridMultilevel"/>
    <w:tmpl w:val="D338B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64EA9"/>
    <w:multiLevelType w:val="hybridMultilevel"/>
    <w:tmpl w:val="86BEA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24CFD"/>
    <w:multiLevelType w:val="hybridMultilevel"/>
    <w:tmpl w:val="03D0AB2A"/>
    <w:lvl w:ilvl="0" w:tplc="E15E51B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62D7F"/>
    <w:multiLevelType w:val="hybridMultilevel"/>
    <w:tmpl w:val="3EFE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515D5"/>
    <w:multiLevelType w:val="hybridMultilevel"/>
    <w:tmpl w:val="77F20DD6"/>
    <w:lvl w:ilvl="0" w:tplc="427638CC">
      <w:start w:val="1"/>
      <w:numFmt w:val="decimal"/>
      <w:lvlText w:val="%1)"/>
      <w:lvlJc w:val="left"/>
      <w:pPr>
        <w:ind w:left="624" w:hanging="360"/>
      </w:pPr>
      <w:rPr>
        <w:rFonts w:ascii="Times New Roman" w:eastAsia="Times New Roman" w:hAnsi="Times New Roman" w:cs="Times New Roman" w:hint="default"/>
        <w:spacing w:val="-20"/>
        <w:w w:val="99"/>
        <w:sz w:val="24"/>
        <w:szCs w:val="24"/>
        <w:lang w:val="en-US" w:eastAsia="en-US" w:bidi="en-US"/>
      </w:rPr>
    </w:lvl>
    <w:lvl w:ilvl="1" w:tplc="69A8DBDC">
      <w:numFmt w:val="bullet"/>
      <w:lvlText w:val="•"/>
      <w:lvlJc w:val="left"/>
      <w:pPr>
        <w:ind w:left="1285" w:hanging="360"/>
      </w:pPr>
      <w:rPr>
        <w:rFonts w:hint="default"/>
        <w:lang w:val="en-US" w:eastAsia="en-US" w:bidi="en-US"/>
      </w:rPr>
    </w:lvl>
    <w:lvl w:ilvl="2" w:tplc="283875A6">
      <w:numFmt w:val="bullet"/>
      <w:lvlText w:val="•"/>
      <w:lvlJc w:val="left"/>
      <w:pPr>
        <w:ind w:left="1951" w:hanging="360"/>
      </w:pPr>
      <w:rPr>
        <w:rFonts w:hint="default"/>
        <w:lang w:val="en-US" w:eastAsia="en-US" w:bidi="en-US"/>
      </w:rPr>
    </w:lvl>
    <w:lvl w:ilvl="3" w:tplc="D95AE9EC">
      <w:numFmt w:val="bullet"/>
      <w:lvlText w:val="•"/>
      <w:lvlJc w:val="left"/>
      <w:pPr>
        <w:ind w:left="2617" w:hanging="360"/>
      </w:pPr>
      <w:rPr>
        <w:rFonts w:hint="default"/>
        <w:lang w:val="en-US" w:eastAsia="en-US" w:bidi="en-US"/>
      </w:rPr>
    </w:lvl>
    <w:lvl w:ilvl="4" w:tplc="CAE43BDC">
      <w:numFmt w:val="bullet"/>
      <w:lvlText w:val="•"/>
      <w:lvlJc w:val="left"/>
      <w:pPr>
        <w:ind w:left="3283" w:hanging="360"/>
      </w:pPr>
      <w:rPr>
        <w:rFonts w:hint="default"/>
        <w:lang w:val="en-US" w:eastAsia="en-US" w:bidi="en-US"/>
      </w:rPr>
    </w:lvl>
    <w:lvl w:ilvl="5" w:tplc="CFACA5E0">
      <w:numFmt w:val="bullet"/>
      <w:lvlText w:val="•"/>
      <w:lvlJc w:val="left"/>
      <w:pPr>
        <w:ind w:left="3949" w:hanging="360"/>
      </w:pPr>
      <w:rPr>
        <w:rFonts w:hint="default"/>
        <w:lang w:val="en-US" w:eastAsia="en-US" w:bidi="en-US"/>
      </w:rPr>
    </w:lvl>
    <w:lvl w:ilvl="6" w:tplc="EE1C59E0">
      <w:numFmt w:val="bullet"/>
      <w:lvlText w:val="•"/>
      <w:lvlJc w:val="left"/>
      <w:pPr>
        <w:ind w:left="4614" w:hanging="360"/>
      </w:pPr>
      <w:rPr>
        <w:rFonts w:hint="default"/>
        <w:lang w:val="en-US" w:eastAsia="en-US" w:bidi="en-US"/>
      </w:rPr>
    </w:lvl>
    <w:lvl w:ilvl="7" w:tplc="69266664">
      <w:numFmt w:val="bullet"/>
      <w:lvlText w:val="•"/>
      <w:lvlJc w:val="left"/>
      <w:pPr>
        <w:ind w:left="5280" w:hanging="360"/>
      </w:pPr>
      <w:rPr>
        <w:rFonts w:hint="default"/>
        <w:lang w:val="en-US" w:eastAsia="en-US" w:bidi="en-US"/>
      </w:rPr>
    </w:lvl>
    <w:lvl w:ilvl="8" w:tplc="618EEFCA">
      <w:numFmt w:val="bullet"/>
      <w:lvlText w:val="•"/>
      <w:lvlJc w:val="left"/>
      <w:pPr>
        <w:ind w:left="5946" w:hanging="360"/>
      </w:pPr>
      <w:rPr>
        <w:rFonts w:hint="default"/>
        <w:lang w:val="en-US" w:eastAsia="en-US" w:bidi="en-US"/>
      </w:rPr>
    </w:lvl>
  </w:abstractNum>
  <w:abstractNum w:abstractNumId="8" w15:restartNumberingAfterBreak="0">
    <w:nsid w:val="4FAE08A1"/>
    <w:multiLevelType w:val="hybridMultilevel"/>
    <w:tmpl w:val="6A06D780"/>
    <w:lvl w:ilvl="0" w:tplc="D1F63F68">
      <w:start w:val="1"/>
      <w:numFmt w:val="decimal"/>
      <w:lvlText w:val="%1)"/>
      <w:lvlJc w:val="left"/>
      <w:pPr>
        <w:ind w:left="629" w:hanging="360"/>
      </w:pPr>
      <w:rPr>
        <w:rFonts w:ascii="Times New Roman" w:eastAsia="Times New Roman" w:hAnsi="Times New Roman" w:cs="Times New Roman" w:hint="default"/>
        <w:spacing w:val="-20"/>
        <w:w w:val="99"/>
        <w:sz w:val="24"/>
        <w:szCs w:val="24"/>
        <w:lang w:val="en-US" w:eastAsia="en-US" w:bidi="en-US"/>
      </w:rPr>
    </w:lvl>
    <w:lvl w:ilvl="1" w:tplc="DF2ACA0C">
      <w:numFmt w:val="bullet"/>
      <w:lvlText w:val="•"/>
      <w:lvlJc w:val="left"/>
      <w:pPr>
        <w:ind w:left="1285" w:hanging="360"/>
      </w:pPr>
      <w:rPr>
        <w:rFonts w:hint="default"/>
        <w:lang w:val="en-US" w:eastAsia="en-US" w:bidi="en-US"/>
      </w:rPr>
    </w:lvl>
    <w:lvl w:ilvl="2" w:tplc="B2A4AB62">
      <w:numFmt w:val="bullet"/>
      <w:lvlText w:val="•"/>
      <w:lvlJc w:val="left"/>
      <w:pPr>
        <w:ind w:left="1951" w:hanging="360"/>
      </w:pPr>
      <w:rPr>
        <w:rFonts w:hint="default"/>
        <w:lang w:val="en-US" w:eastAsia="en-US" w:bidi="en-US"/>
      </w:rPr>
    </w:lvl>
    <w:lvl w:ilvl="3" w:tplc="7D7EEE1C">
      <w:numFmt w:val="bullet"/>
      <w:lvlText w:val="•"/>
      <w:lvlJc w:val="left"/>
      <w:pPr>
        <w:ind w:left="2617" w:hanging="360"/>
      </w:pPr>
      <w:rPr>
        <w:rFonts w:hint="default"/>
        <w:lang w:val="en-US" w:eastAsia="en-US" w:bidi="en-US"/>
      </w:rPr>
    </w:lvl>
    <w:lvl w:ilvl="4" w:tplc="549084E8">
      <w:numFmt w:val="bullet"/>
      <w:lvlText w:val="•"/>
      <w:lvlJc w:val="left"/>
      <w:pPr>
        <w:ind w:left="3283" w:hanging="360"/>
      </w:pPr>
      <w:rPr>
        <w:rFonts w:hint="default"/>
        <w:lang w:val="en-US" w:eastAsia="en-US" w:bidi="en-US"/>
      </w:rPr>
    </w:lvl>
    <w:lvl w:ilvl="5" w:tplc="2EFE29CC">
      <w:numFmt w:val="bullet"/>
      <w:lvlText w:val="•"/>
      <w:lvlJc w:val="left"/>
      <w:pPr>
        <w:ind w:left="3949" w:hanging="360"/>
      </w:pPr>
      <w:rPr>
        <w:rFonts w:hint="default"/>
        <w:lang w:val="en-US" w:eastAsia="en-US" w:bidi="en-US"/>
      </w:rPr>
    </w:lvl>
    <w:lvl w:ilvl="6" w:tplc="D2660990">
      <w:numFmt w:val="bullet"/>
      <w:lvlText w:val="•"/>
      <w:lvlJc w:val="left"/>
      <w:pPr>
        <w:ind w:left="4614" w:hanging="360"/>
      </w:pPr>
      <w:rPr>
        <w:rFonts w:hint="default"/>
        <w:lang w:val="en-US" w:eastAsia="en-US" w:bidi="en-US"/>
      </w:rPr>
    </w:lvl>
    <w:lvl w:ilvl="7" w:tplc="135AA6C0">
      <w:numFmt w:val="bullet"/>
      <w:lvlText w:val="•"/>
      <w:lvlJc w:val="left"/>
      <w:pPr>
        <w:ind w:left="5280" w:hanging="360"/>
      </w:pPr>
      <w:rPr>
        <w:rFonts w:hint="default"/>
        <w:lang w:val="en-US" w:eastAsia="en-US" w:bidi="en-US"/>
      </w:rPr>
    </w:lvl>
    <w:lvl w:ilvl="8" w:tplc="86D2AC40">
      <w:numFmt w:val="bullet"/>
      <w:lvlText w:val="•"/>
      <w:lvlJc w:val="left"/>
      <w:pPr>
        <w:ind w:left="5946" w:hanging="360"/>
      </w:pPr>
      <w:rPr>
        <w:rFonts w:hint="default"/>
        <w:lang w:val="en-US" w:eastAsia="en-US" w:bidi="en-US"/>
      </w:rPr>
    </w:lvl>
  </w:abstractNum>
  <w:abstractNum w:abstractNumId="9"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E846206"/>
    <w:multiLevelType w:val="hybridMultilevel"/>
    <w:tmpl w:val="A47C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1"/>
  </w:num>
  <w:num w:numId="5">
    <w:abstractNumId w:val="2"/>
  </w:num>
  <w:num w:numId="6">
    <w:abstractNumId w:val="10"/>
  </w:num>
  <w:num w:numId="7">
    <w:abstractNumId w:val="1"/>
  </w:num>
  <w:num w:numId="8">
    <w:abstractNumId w:val="7"/>
  </w:num>
  <w:num w:numId="9">
    <w:abstractNumId w:val="8"/>
  </w:num>
  <w:num w:numId="10">
    <w:abstractNumId w:val="6"/>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53F0"/>
    <w:rsid w:val="00030E1A"/>
    <w:rsid w:val="00046085"/>
    <w:rsid w:val="000524CE"/>
    <w:rsid w:val="00052E05"/>
    <w:rsid w:val="00073CD3"/>
    <w:rsid w:val="00080714"/>
    <w:rsid w:val="00087AED"/>
    <w:rsid w:val="00090844"/>
    <w:rsid w:val="00095EF9"/>
    <w:rsid w:val="000A00BA"/>
    <w:rsid w:val="000A6928"/>
    <w:rsid w:val="000A772D"/>
    <w:rsid w:val="000C2E73"/>
    <w:rsid w:val="000D0D0D"/>
    <w:rsid w:val="000D5618"/>
    <w:rsid w:val="000D6461"/>
    <w:rsid w:val="000D73D2"/>
    <w:rsid w:val="000E1F27"/>
    <w:rsid w:val="000E758D"/>
    <w:rsid w:val="000E7729"/>
    <w:rsid w:val="000F275D"/>
    <w:rsid w:val="000F5970"/>
    <w:rsid w:val="000F6EF1"/>
    <w:rsid w:val="001562B7"/>
    <w:rsid w:val="00157170"/>
    <w:rsid w:val="00157A23"/>
    <w:rsid w:val="00166C34"/>
    <w:rsid w:val="0017798B"/>
    <w:rsid w:val="00183350"/>
    <w:rsid w:val="0019011C"/>
    <w:rsid w:val="001A3532"/>
    <w:rsid w:val="001B1AFD"/>
    <w:rsid w:val="001B741C"/>
    <w:rsid w:val="001D2492"/>
    <w:rsid w:val="001D24E8"/>
    <w:rsid w:val="00201025"/>
    <w:rsid w:val="00203B2F"/>
    <w:rsid w:val="00226D2C"/>
    <w:rsid w:val="00234623"/>
    <w:rsid w:val="00241EDE"/>
    <w:rsid w:val="0024613B"/>
    <w:rsid w:val="0025594E"/>
    <w:rsid w:val="0026183B"/>
    <w:rsid w:val="0027643B"/>
    <w:rsid w:val="00295C76"/>
    <w:rsid w:val="002A5045"/>
    <w:rsid w:val="002B0F44"/>
    <w:rsid w:val="002B6342"/>
    <w:rsid w:val="002C0F74"/>
    <w:rsid w:val="002D4956"/>
    <w:rsid w:val="002E618A"/>
    <w:rsid w:val="002F3837"/>
    <w:rsid w:val="00313671"/>
    <w:rsid w:val="003141E0"/>
    <w:rsid w:val="00326C0E"/>
    <w:rsid w:val="00340303"/>
    <w:rsid w:val="0034633A"/>
    <w:rsid w:val="00351132"/>
    <w:rsid w:val="00363AAF"/>
    <w:rsid w:val="00387DBC"/>
    <w:rsid w:val="00397AF8"/>
    <w:rsid w:val="003A1538"/>
    <w:rsid w:val="003B4E6D"/>
    <w:rsid w:val="003D08C4"/>
    <w:rsid w:val="003D7E3E"/>
    <w:rsid w:val="003E2315"/>
    <w:rsid w:val="003E3F2E"/>
    <w:rsid w:val="003E5205"/>
    <w:rsid w:val="003E7B63"/>
    <w:rsid w:val="003F557B"/>
    <w:rsid w:val="004006B1"/>
    <w:rsid w:val="00402818"/>
    <w:rsid w:val="00411CB8"/>
    <w:rsid w:val="00414AB8"/>
    <w:rsid w:val="00416010"/>
    <w:rsid w:val="00440109"/>
    <w:rsid w:val="00441632"/>
    <w:rsid w:val="004472B0"/>
    <w:rsid w:val="00460AA9"/>
    <w:rsid w:val="00473A4B"/>
    <w:rsid w:val="00496AC4"/>
    <w:rsid w:val="004C6322"/>
    <w:rsid w:val="004D0CFF"/>
    <w:rsid w:val="0051548B"/>
    <w:rsid w:val="005271D5"/>
    <w:rsid w:val="00530B01"/>
    <w:rsid w:val="005328B4"/>
    <w:rsid w:val="005368B1"/>
    <w:rsid w:val="00541B1F"/>
    <w:rsid w:val="00544D9F"/>
    <w:rsid w:val="005519A7"/>
    <w:rsid w:val="005647B1"/>
    <w:rsid w:val="00571262"/>
    <w:rsid w:val="005A1E1C"/>
    <w:rsid w:val="005A2388"/>
    <w:rsid w:val="005A5AE7"/>
    <w:rsid w:val="005B79E8"/>
    <w:rsid w:val="005C02B8"/>
    <w:rsid w:val="005C4288"/>
    <w:rsid w:val="005D45FD"/>
    <w:rsid w:val="005E616F"/>
    <w:rsid w:val="005F2F1C"/>
    <w:rsid w:val="00602931"/>
    <w:rsid w:val="00617027"/>
    <w:rsid w:val="0062132F"/>
    <w:rsid w:val="00625432"/>
    <w:rsid w:val="00627846"/>
    <w:rsid w:val="00630B7C"/>
    <w:rsid w:val="0063347B"/>
    <w:rsid w:val="006378E3"/>
    <w:rsid w:val="00646BEC"/>
    <w:rsid w:val="006620E7"/>
    <w:rsid w:val="00667949"/>
    <w:rsid w:val="0067159D"/>
    <w:rsid w:val="006829AA"/>
    <w:rsid w:val="00686A6E"/>
    <w:rsid w:val="006A0EAB"/>
    <w:rsid w:val="006C6395"/>
    <w:rsid w:val="006E456B"/>
    <w:rsid w:val="00702CED"/>
    <w:rsid w:val="00715DAB"/>
    <w:rsid w:val="00732699"/>
    <w:rsid w:val="00746C77"/>
    <w:rsid w:val="007472B6"/>
    <w:rsid w:val="007547D2"/>
    <w:rsid w:val="00756B9A"/>
    <w:rsid w:val="0075761B"/>
    <w:rsid w:val="007710A9"/>
    <w:rsid w:val="0077304D"/>
    <w:rsid w:val="00775532"/>
    <w:rsid w:val="007822AD"/>
    <w:rsid w:val="00785C20"/>
    <w:rsid w:val="00786EFD"/>
    <w:rsid w:val="007C09E8"/>
    <w:rsid w:val="007C1AB4"/>
    <w:rsid w:val="007C2595"/>
    <w:rsid w:val="007C2880"/>
    <w:rsid w:val="007C5C1F"/>
    <w:rsid w:val="007D46A3"/>
    <w:rsid w:val="007E3EAC"/>
    <w:rsid w:val="00803285"/>
    <w:rsid w:val="008221D8"/>
    <w:rsid w:val="0082410D"/>
    <w:rsid w:val="00826E56"/>
    <w:rsid w:val="00836251"/>
    <w:rsid w:val="00857376"/>
    <w:rsid w:val="008651C5"/>
    <w:rsid w:val="00894AF6"/>
    <w:rsid w:val="008A59FC"/>
    <w:rsid w:val="008A74BD"/>
    <w:rsid w:val="008A7D5A"/>
    <w:rsid w:val="008B4113"/>
    <w:rsid w:val="00906565"/>
    <w:rsid w:val="00914DC9"/>
    <w:rsid w:val="00920477"/>
    <w:rsid w:val="00924961"/>
    <w:rsid w:val="009252D7"/>
    <w:rsid w:val="00932C56"/>
    <w:rsid w:val="009367E1"/>
    <w:rsid w:val="0094102C"/>
    <w:rsid w:val="00941B97"/>
    <w:rsid w:val="00964413"/>
    <w:rsid w:val="00965D18"/>
    <w:rsid w:val="00995CDC"/>
    <w:rsid w:val="009A1B78"/>
    <w:rsid w:val="009A1D58"/>
    <w:rsid w:val="009C54D8"/>
    <w:rsid w:val="009C6186"/>
    <w:rsid w:val="009C7FB8"/>
    <w:rsid w:val="009F0017"/>
    <w:rsid w:val="009F550D"/>
    <w:rsid w:val="00A07D5F"/>
    <w:rsid w:val="00A1406C"/>
    <w:rsid w:val="00A403C9"/>
    <w:rsid w:val="00A43213"/>
    <w:rsid w:val="00A44C37"/>
    <w:rsid w:val="00A46461"/>
    <w:rsid w:val="00A63ED0"/>
    <w:rsid w:val="00A7322C"/>
    <w:rsid w:val="00A76FE6"/>
    <w:rsid w:val="00A9545B"/>
    <w:rsid w:val="00AA0AB3"/>
    <w:rsid w:val="00AC7C8F"/>
    <w:rsid w:val="00AE7A2A"/>
    <w:rsid w:val="00AF170D"/>
    <w:rsid w:val="00AF220B"/>
    <w:rsid w:val="00B02B67"/>
    <w:rsid w:val="00B0711F"/>
    <w:rsid w:val="00B10A26"/>
    <w:rsid w:val="00B14CD0"/>
    <w:rsid w:val="00B17253"/>
    <w:rsid w:val="00B3112A"/>
    <w:rsid w:val="00B4721C"/>
    <w:rsid w:val="00B706DF"/>
    <w:rsid w:val="00B7420D"/>
    <w:rsid w:val="00B75D30"/>
    <w:rsid w:val="00B962E5"/>
    <w:rsid w:val="00BA0CD3"/>
    <w:rsid w:val="00BA7260"/>
    <w:rsid w:val="00BB7877"/>
    <w:rsid w:val="00BC6AB2"/>
    <w:rsid w:val="00BD0BBA"/>
    <w:rsid w:val="00BD273D"/>
    <w:rsid w:val="00BF0E69"/>
    <w:rsid w:val="00C02DC2"/>
    <w:rsid w:val="00C04E67"/>
    <w:rsid w:val="00C264CA"/>
    <w:rsid w:val="00C55825"/>
    <w:rsid w:val="00C666A6"/>
    <w:rsid w:val="00C74B52"/>
    <w:rsid w:val="00C9174A"/>
    <w:rsid w:val="00C94FD5"/>
    <w:rsid w:val="00CA6898"/>
    <w:rsid w:val="00CC4FD4"/>
    <w:rsid w:val="00CD07C1"/>
    <w:rsid w:val="00CE2C57"/>
    <w:rsid w:val="00CE6479"/>
    <w:rsid w:val="00D022A2"/>
    <w:rsid w:val="00D0246A"/>
    <w:rsid w:val="00D02BA4"/>
    <w:rsid w:val="00D07EF6"/>
    <w:rsid w:val="00D1761C"/>
    <w:rsid w:val="00D424C6"/>
    <w:rsid w:val="00D50C70"/>
    <w:rsid w:val="00D52B5F"/>
    <w:rsid w:val="00D7056D"/>
    <w:rsid w:val="00D73B87"/>
    <w:rsid w:val="00D977BB"/>
    <w:rsid w:val="00DA3767"/>
    <w:rsid w:val="00DA7298"/>
    <w:rsid w:val="00DB0731"/>
    <w:rsid w:val="00DB0E42"/>
    <w:rsid w:val="00DB360D"/>
    <w:rsid w:val="00DC63DE"/>
    <w:rsid w:val="00DD5FA4"/>
    <w:rsid w:val="00DE5F1B"/>
    <w:rsid w:val="00E03597"/>
    <w:rsid w:val="00E066B8"/>
    <w:rsid w:val="00E37072"/>
    <w:rsid w:val="00E378E3"/>
    <w:rsid w:val="00E4503D"/>
    <w:rsid w:val="00E4692C"/>
    <w:rsid w:val="00E47135"/>
    <w:rsid w:val="00E471C8"/>
    <w:rsid w:val="00E54934"/>
    <w:rsid w:val="00E908CE"/>
    <w:rsid w:val="00EA33DB"/>
    <w:rsid w:val="00EC468F"/>
    <w:rsid w:val="00ED3880"/>
    <w:rsid w:val="00EE4266"/>
    <w:rsid w:val="00EE631B"/>
    <w:rsid w:val="00F01EB6"/>
    <w:rsid w:val="00F23A3F"/>
    <w:rsid w:val="00F32A5A"/>
    <w:rsid w:val="00F350FD"/>
    <w:rsid w:val="00F35E2E"/>
    <w:rsid w:val="00F562C8"/>
    <w:rsid w:val="00F640B1"/>
    <w:rsid w:val="00F67545"/>
    <w:rsid w:val="00F8711B"/>
    <w:rsid w:val="00F935E8"/>
    <w:rsid w:val="00FA6CB5"/>
    <w:rsid w:val="00FE6354"/>
    <w:rsid w:val="00F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B059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iPriority w:val="99"/>
    <w:unhideWhenUsed/>
    <w:rsid w:val="007C09E8"/>
    <w:pPr>
      <w:spacing w:line="240" w:lineRule="auto"/>
    </w:pPr>
    <w:rPr>
      <w:sz w:val="20"/>
      <w:szCs w:val="20"/>
    </w:rPr>
  </w:style>
  <w:style w:type="character" w:customStyle="1" w:styleId="CommentTextChar">
    <w:name w:val="Comment Text Char"/>
    <w:basedOn w:val="DefaultParagraphFont"/>
    <w:link w:val="CommentText"/>
    <w:uiPriority w:val="99"/>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B360D"/>
    <w:pPr>
      <w:widowControl w:val="0"/>
      <w:autoSpaceDE w:val="0"/>
      <w:autoSpaceDN w:val="0"/>
      <w:spacing w:after="0" w:line="240" w:lineRule="auto"/>
      <w:ind w:left="624"/>
    </w:pPr>
    <w:rPr>
      <w:rFonts w:ascii="Times New Roman" w:eastAsia="Times New Roman" w:hAnsi="Times New Roman" w:cs="Times New Roman"/>
      <w:lang w:bidi="en-US"/>
    </w:rPr>
  </w:style>
  <w:style w:type="paragraph" w:styleId="Revision">
    <w:name w:val="Revision"/>
    <w:hidden/>
    <w:uiPriority w:val="99"/>
    <w:semiHidden/>
    <w:rsid w:val="00D52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pps.leg.wa.gov/rcw/default.aspx?cite=39.26.210" TargetMode="External"/><Relationship Id="rId4" Type="http://schemas.openxmlformats.org/officeDocument/2006/relationships/webSettings" Target="webSettings.xml"/><Relationship Id="rId9" Type="http://schemas.openxmlformats.org/officeDocument/2006/relationships/hyperlink" Target="http://apps.leg.wa.gov/RCW/default.aspx?cite=28B.10.01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3178</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2020-06-11T16:01:00Z</dcterms:created>
  <dcterms:modified xsi:type="dcterms:W3CDTF">2020-06-11T16:01:00Z</dcterms:modified>
</cp:coreProperties>
</file>