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662D" w14:textId="77777777" w:rsidR="000F275D" w:rsidRDefault="000F275D" w:rsidP="00CE6479">
      <w:pPr>
        <w:pStyle w:val="Subtitle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71648DF2" w14:textId="6220535C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DB5CE1">
        <w:rPr>
          <w:rFonts w:asciiTheme="minorHAnsi" w:hAnsiTheme="minorHAnsi" w:cstheme="minorHAnsi"/>
        </w:rPr>
        <w:t>POL-DES-090-06</w:t>
      </w:r>
    </w:p>
    <w:p w14:paraId="39A668F6" w14:textId="0761BB40" w:rsidR="00CE6479" w:rsidRPr="00295C76" w:rsidRDefault="00DB5CE1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Supplier Diversity</w:t>
      </w:r>
    </w:p>
    <w:p w14:paraId="40157C82" w14:textId="62CBE7A9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or activity of the executive </w:t>
      </w:r>
      <w:r w:rsidR="007D46A3">
        <w:rPr>
          <w:rFonts w:asciiTheme="minorHAnsi" w:hAnsiTheme="minorHAnsi" w:cstheme="minorHAnsi"/>
          <w:sz w:val="22"/>
          <w:szCs w:val="22"/>
          <w:lang w:eastAsia="zh-TW"/>
        </w:rPr>
        <w:t>branch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 xml:space="preserve"> of state government, including state agencies, departments, offices, divisions, boards, commissions, institutions of higher educat</w:t>
      </w:r>
      <w:r w:rsidR="0019011C">
        <w:rPr>
          <w:rFonts w:asciiTheme="minorHAnsi" w:hAnsiTheme="minorHAnsi" w:cstheme="minorHAnsi"/>
          <w:sz w:val="22"/>
          <w:szCs w:val="22"/>
          <w:lang w:eastAsia="zh-TW"/>
        </w:rPr>
        <w:t>ion as defined in</w:t>
      </w:r>
      <w:r w:rsidR="00D7056D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hyperlink r:id="rId11" w:history="1">
        <w:r w:rsidR="00D7056D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1562B7" w:rsidRPr="002D4956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1562B7">
        <w:rPr>
          <w:rFonts w:asciiTheme="minorHAnsi" w:hAnsiTheme="minorHAnsi" w:cstheme="minorHAnsi"/>
          <w:sz w:val="22"/>
          <w:szCs w:val="22"/>
          <w:lang w:eastAsia="zh-TW"/>
        </w:rPr>
        <w:t>and correctional and other types of institutions</w:t>
      </w:r>
      <w:r w:rsidR="00B706DF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13566A96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3FEDD856" w14:textId="0B0D0534" w:rsidR="00625432" w:rsidRPr="00DB5CE1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>State Law</w:t>
      </w:r>
      <w:r w:rsidR="0075761B" w:rsidRPr="009C7FB8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39.26.090(6)</w:t>
        </w:r>
      </w:hyperlink>
    </w:p>
    <w:p w14:paraId="0D8D6313" w14:textId="041E98D0" w:rsidR="00DB5CE1" w:rsidRPr="009C7FB8" w:rsidRDefault="00DB5CE1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3" w:history="1">
        <w:r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39.26.005</w:t>
        </w:r>
      </w:hyperlink>
    </w:p>
    <w:p w14:paraId="229132B0" w14:textId="5933CA3D" w:rsidR="00CE6479" w:rsidRPr="00DB5CE1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>State Law</w:t>
      </w:r>
      <w:r w:rsidR="00625432" w:rsidRPr="009C7FB8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39.26.240</w:t>
        </w:r>
      </w:hyperlink>
    </w:p>
    <w:p w14:paraId="4C4CCB66" w14:textId="743478B0" w:rsidR="00DB5CE1" w:rsidRPr="00AD7742" w:rsidRDefault="00DB5CE1" w:rsidP="00DB5CE1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5" w:anchor="39.26.245" w:history="1">
        <w:r w:rsidRPr="00DB5CE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39.26.245</w:t>
        </w:r>
      </w:hyperlink>
    </w:p>
    <w:p w14:paraId="1C06ED0E" w14:textId="43EF1A30" w:rsidR="00AD7742" w:rsidRPr="00AD7742" w:rsidRDefault="00AD7742" w:rsidP="00AD7742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6" w:history="1">
        <w:r w:rsidRPr="00AD774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39.26.160(3)(b)</w:t>
        </w:r>
      </w:hyperlink>
    </w:p>
    <w:p w14:paraId="37523C71" w14:textId="77777777" w:rsidR="0075761B" w:rsidRPr="009C7FB8" w:rsidRDefault="0063347B" w:rsidP="0063347B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7" w:history="1">
        <w:r w:rsidR="009C7FB8"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43.60A.200</w:t>
        </w:r>
      </w:hyperlink>
    </w:p>
    <w:p w14:paraId="16412C0A" w14:textId="0E80CB04" w:rsidR="009C7FB8" w:rsidRPr="00727E87" w:rsidRDefault="009C7FB8" w:rsidP="00DB5CE1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7FB8">
        <w:rPr>
          <w:rFonts w:asciiTheme="minorHAnsi" w:hAnsiTheme="minorHAnsi" w:cstheme="minorHAnsi"/>
          <w:sz w:val="22"/>
          <w:szCs w:val="22"/>
        </w:rPr>
        <w:t xml:space="preserve">State Law </w:t>
      </w:r>
      <w:hyperlink r:id="rId18" w:history="1">
        <w:r w:rsidRPr="009C7FB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RCW 39.26.010</w:t>
        </w:r>
      </w:hyperlink>
    </w:p>
    <w:p w14:paraId="7DF911B2" w14:textId="562CD46D" w:rsidR="00727E87" w:rsidRPr="004811B7" w:rsidRDefault="00174F6E" w:rsidP="00DB5CE1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9" w:history="1">
        <w:r w:rsidR="00727E87" w:rsidRPr="00727E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Executive Order 19-01</w:t>
        </w:r>
      </w:hyperlink>
    </w:p>
    <w:p w14:paraId="10DE2AC0" w14:textId="18963E17" w:rsidR="004811B7" w:rsidRPr="004811B7" w:rsidRDefault="004811B7" w:rsidP="004811B7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sz w:val="22"/>
          <w:szCs w:val="22"/>
        </w:rPr>
        <w:instrText xml:space="preserve"> HYPERLINK "https://www.governor.wa.gov/sites/default/files/exe_order/eo_13-01.pdf" </w:instrText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811B7">
        <w:rPr>
          <w:rStyle w:val="Hyperlink"/>
          <w:rFonts w:asciiTheme="minorHAnsi" w:hAnsiTheme="minorHAnsi" w:cstheme="minorHAnsi"/>
          <w:b/>
          <w:sz w:val="22"/>
          <w:szCs w:val="22"/>
        </w:rPr>
        <w:t>Executive Order 13-01</w:t>
      </w:r>
    </w:p>
    <w:p w14:paraId="504DAD4C" w14:textId="1C0F709C" w:rsidR="00E471C8" w:rsidRPr="009C7FB8" w:rsidRDefault="004811B7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hyperlink r:id="rId20" w:history="1">
        <w:r w:rsidR="00E471C8" w:rsidRPr="00E471C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DES Policy 210-01</w:t>
        </w:r>
      </w:hyperlink>
    </w:p>
    <w:p w14:paraId="628D60CC" w14:textId="77777777" w:rsidR="009A7808" w:rsidRDefault="009A7808" w:rsidP="000E1F27">
      <w:pPr>
        <w:spacing w:after="60"/>
        <w:rPr>
          <w:rFonts w:cstheme="minorHAnsi"/>
          <w:b/>
          <w:lang w:eastAsia="zh-TW" w:bidi="en-US"/>
        </w:rPr>
      </w:pPr>
    </w:p>
    <w:p w14:paraId="5D432870" w14:textId="0102C6B3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DB5CE1" w:rsidRPr="00727E87">
        <w:rPr>
          <w:rFonts w:cstheme="minorHAnsi"/>
          <w:highlight w:val="yellow"/>
        </w:rPr>
        <w:t>______________</w:t>
      </w:r>
      <w:r w:rsidR="00F640B1" w:rsidRPr="00727E87">
        <w:rPr>
          <w:rFonts w:cstheme="minorHAnsi"/>
          <w:highlight w:val="yellow"/>
        </w:rPr>
        <w:t>,</w:t>
      </w:r>
      <w:r w:rsidR="00F640B1">
        <w:rPr>
          <w:rFonts w:cstheme="minorHAnsi"/>
        </w:rPr>
        <w:t xml:space="preserve"> 2020</w:t>
      </w:r>
    </w:p>
    <w:p w14:paraId="7473425A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04C56598" w14:textId="2733E459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C55825">
        <w:rPr>
          <w:rFonts w:cstheme="minorHAnsi"/>
          <w:b/>
          <w:lang w:eastAsia="zh-TW" w:bidi="en-US"/>
        </w:rPr>
        <w:t>date</w:t>
      </w:r>
      <w:r w:rsidR="00803285">
        <w:rPr>
          <w:rFonts w:ascii="Arial" w:hAnsi="Arial" w:cs="Arial"/>
          <w:sz w:val="20"/>
          <w:szCs w:val="24"/>
          <w:lang w:bidi="en-US"/>
        </w:rPr>
        <w:t xml:space="preserve">: </w:t>
      </w:r>
      <w:r w:rsidR="00661A3F">
        <w:rPr>
          <w:rFonts w:cstheme="minorHAnsi"/>
        </w:rPr>
        <w:t xml:space="preserve">5 </w:t>
      </w:r>
      <w:r w:rsidR="00DB5CE1">
        <w:rPr>
          <w:rFonts w:cstheme="minorHAnsi"/>
        </w:rPr>
        <w:t>years from Effective date</w:t>
      </w:r>
    </w:p>
    <w:p w14:paraId="23D7251A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0FB728B8" w14:textId="77777777" w:rsidR="00CE6479" w:rsidRDefault="00B17253" w:rsidP="00295C76">
      <w:pPr>
        <w:pStyle w:val="Heading1"/>
      </w:pPr>
      <w:r>
        <w:t>Reason for Policy</w:t>
      </w:r>
    </w:p>
    <w:p w14:paraId="00A1DF42" w14:textId="78012B7F" w:rsidR="00AE7A2A" w:rsidRPr="0094102C" w:rsidRDefault="00727E87" w:rsidP="00AE7A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7C540E">
        <w:rPr>
          <w:rFonts w:cstheme="minorHAnsi"/>
        </w:rPr>
        <w:t xml:space="preserve"> state is</w:t>
      </w:r>
      <w:r w:rsidR="008C3EC6">
        <w:rPr>
          <w:rFonts w:cstheme="minorHAnsi"/>
        </w:rPr>
        <w:t xml:space="preserve"> encouraged to purchase goods an</w:t>
      </w:r>
      <w:r w:rsidR="007C540E">
        <w:rPr>
          <w:rFonts w:cstheme="minorHAnsi"/>
        </w:rPr>
        <w:t>d services from Washington small businesses and veteran</w:t>
      </w:r>
      <w:r w:rsidR="00727A6F">
        <w:rPr>
          <w:rFonts w:cstheme="minorHAnsi"/>
        </w:rPr>
        <w:t>-</w:t>
      </w:r>
      <w:r w:rsidR="007C540E">
        <w:rPr>
          <w:rFonts w:cstheme="minorHAnsi"/>
        </w:rPr>
        <w:t xml:space="preserve">owned businesses.  </w:t>
      </w:r>
      <w:r w:rsidR="00AE7A2A" w:rsidRPr="0094102C">
        <w:rPr>
          <w:rFonts w:cstheme="minorHAnsi"/>
        </w:rPr>
        <w:t>A competitive solicitation process must be used for all purchases of goods and services unless there is an exception listed under RCW 39.26.125.</w:t>
      </w:r>
      <w:r w:rsidR="00AE7A2A" w:rsidRPr="0094102C">
        <w:rPr>
          <w:rFonts w:cstheme="minorHAnsi"/>
          <w:b/>
        </w:rPr>
        <w:t xml:space="preserve">  </w:t>
      </w:r>
      <w:r w:rsidR="007C540E" w:rsidRPr="007C540E">
        <w:rPr>
          <w:rFonts w:cstheme="minorHAnsi"/>
        </w:rPr>
        <w:t>Agencies may consider diverse contractor participation in determining the lowest responsive and responsible bidder.</w:t>
      </w:r>
      <w:r w:rsidR="007C540E">
        <w:rPr>
          <w:rFonts w:cstheme="minorHAnsi"/>
          <w:b/>
        </w:rPr>
        <w:t xml:space="preserve"> </w:t>
      </w:r>
    </w:p>
    <w:p w14:paraId="5CFE943B" w14:textId="77777777" w:rsidR="00AE7A2A" w:rsidRPr="0094102C" w:rsidRDefault="00AE7A2A" w:rsidP="00AE7A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89908D" w14:textId="000DB930" w:rsidR="00AE7A2A" w:rsidRPr="0094102C" w:rsidRDefault="00AE7A2A" w:rsidP="00AE7A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102C">
        <w:rPr>
          <w:rFonts w:cstheme="minorHAnsi"/>
        </w:rPr>
        <w:t xml:space="preserve">This policy establishes the procurement </w:t>
      </w:r>
      <w:r w:rsidR="00DB0E42" w:rsidRPr="0094102C">
        <w:rPr>
          <w:rFonts w:cstheme="minorHAnsi"/>
        </w:rPr>
        <w:t xml:space="preserve">criteria </w:t>
      </w:r>
      <w:r w:rsidR="007C540E">
        <w:rPr>
          <w:rFonts w:cstheme="minorHAnsi"/>
        </w:rPr>
        <w:t>authorized in statute, Executive Order 19-01, and the Governor’s Business Diversity Subcabinet recommendations</w:t>
      </w:r>
      <w:r w:rsidRPr="0094102C">
        <w:rPr>
          <w:rFonts w:cstheme="minorHAnsi"/>
        </w:rPr>
        <w:t xml:space="preserve">.  This policy applies to all purchases for goods and services </w:t>
      </w:r>
      <w:r w:rsidR="00BD2490">
        <w:rPr>
          <w:rFonts w:cstheme="minorHAnsi"/>
        </w:rPr>
        <w:t>made</w:t>
      </w:r>
      <w:r w:rsidRPr="0094102C">
        <w:rPr>
          <w:rFonts w:cstheme="minorHAnsi"/>
        </w:rPr>
        <w:t xml:space="preserve"> by agencies under delegated authority</w:t>
      </w:r>
      <w:r w:rsidR="00BD2490">
        <w:rPr>
          <w:rFonts w:cstheme="minorHAnsi"/>
        </w:rPr>
        <w:t>,</w:t>
      </w:r>
      <w:r w:rsidRPr="0094102C">
        <w:rPr>
          <w:rFonts w:cstheme="minorHAnsi"/>
        </w:rPr>
        <w:t xml:space="preserve"> granted in accordance with </w:t>
      </w:r>
      <w:hyperlink r:id="rId21" w:history="1">
        <w:r w:rsidRPr="0094102C">
          <w:rPr>
            <w:rStyle w:val="Hyperlink"/>
            <w:rFonts w:cstheme="minorHAnsi"/>
          </w:rPr>
          <w:t>RCW 39.26.090</w:t>
        </w:r>
      </w:hyperlink>
      <w:r w:rsidRPr="0094102C">
        <w:rPr>
          <w:rFonts w:cstheme="minorHAnsi"/>
        </w:rPr>
        <w:t xml:space="preserve"> or under </w:t>
      </w:r>
      <w:hyperlink r:id="rId22" w:history="1">
        <w:r w:rsidRPr="0094102C">
          <w:rPr>
            <w:rStyle w:val="Hyperlink"/>
            <w:rFonts w:cstheme="minorHAnsi"/>
          </w:rPr>
          <w:t>RCW 28B.10.029</w:t>
        </w:r>
      </w:hyperlink>
      <w:r w:rsidRPr="0094102C">
        <w:rPr>
          <w:rFonts w:cstheme="minorHAnsi"/>
        </w:rPr>
        <w:t>.</w:t>
      </w:r>
    </w:p>
    <w:p w14:paraId="117B2C7E" w14:textId="77777777" w:rsidR="0075761B" w:rsidRPr="00295C76" w:rsidRDefault="0075761B" w:rsidP="00295C76">
      <w:pPr>
        <w:pStyle w:val="Heading1"/>
      </w:pPr>
      <w:r w:rsidRPr="00295C76">
        <w:t>Policy</w:t>
      </w:r>
    </w:p>
    <w:p w14:paraId="7A8E94F0" w14:textId="73C8A195" w:rsidR="00576F98" w:rsidRDefault="00576F98" w:rsidP="005231E9">
      <w:pPr>
        <w:pStyle w:val="NoSpacing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754AC">
        <w:rPr>
          <w:rFonts w:asciiTheme="minorHAnsi" w:hAnsiTheme="minorHAnsi" w:cstheme="minorHAnsi"/>
          <w:b/>
          <w:sz w:val="24"/>
          <w:szCs w:val="24"/>
        </w:rPr>
        <w:t>Purpose Statement</w:t>
      </w:r>
      <w:r w:rsidR="000C5DDC" w:rsidRPr="006754AC">
        <w:rPr>
          <w:rFonts w:asciiTheme="minorHAnsi" w:hAnsiTheme="minorHAnsi" w:cstheme="minorHAnsi"/>
          <w:b/>
          <w:sz w:val="24"/>
          <w:szCs w:val="24"/>
        </w:rPr>
        <w:t>:</w:t>
      </w:r>
      <w:r w:rsidR="00263EB2" w:rsidRPr="005231E9">
        <w:rPr>
          <w:rFonts w:asciiTheme="minorHAnsi" w:hAnsiTheme="minorHAnsi" w:cstheme="minorHAnsi"/>
          <w:sz w:val="22"/>
          <w:szCs w:val="22"/>
        </w:rPr>
        <w:t xml:space="preserve"> </w:t>
      </w:r>
      <w:r w:rsidR="00BC585C">
        <w:rPr>
          <w:rFonts w:asciiTheme="minorHAnsi" w:hAnsiTheme="minorHAnsi" w:cstheme="minorHAnsi"/>
          <w:sz w:val="22"/>
          <w:szCs w:val="22"/>
        </w:rPr>
        <w:t xml:space="preserve">Supplier diversity will be included in all aspects of procurement.  The purpose of this policy is to provide </w:t>
      </w:r>
      <w:r w:rsidR="004C2D6E">
        <w:rPr>
          <w:rFonts w:asciiTheme="minorHAnsi" w:hAnsiTheme="minorHAnsi" w:cstheme="minorHAnsi"/>
          <w:sz w:val="22"/>
          <w:szCs w:val="22"/>
        </w:rPr>
        <w:t>maximum practicable opportunities intended</w:t>
      </w:r>
      <w:r w:rsidR="00BC585C">
        <w:rPr>
          <w:rFonts w:asciiTheme="minorHAnsi" w:hAnsiTheme="minorHAnsi" w:cstheme="minorHAnsi"/>
          <w:sz w:val="22"/>
          <w:szCs w:val="22"/>
        </w:rPr>
        <w:t xml:space="preserve"> to further </w:t>
      </w:r>
      <w:r w:rsidR="004C2D6E">
        <w:rPr>
          <w:rFonts w:asciiTheme="minorHAnsi" w:hAnsiTheme="minorHAnsi" w:cstheme="minorHAnsi"/>
          <w:sz w:val="22"/>
          <w:szCs w:val="22"/>
        </w:rPr>
        <w:t xml:space="preserve">promote, </w:t>
      </w:r>
      <w:r w:rsidR="00BC585C">
        <w:rPr>
          <w:rFonts w:asciiTheme="minorHAnsi" w:hAnsiTheme="minorHAnsi" w:cstheme="minorHAnsi"/>
          <w:sz w:val="22"/>
          <w:szCs w:val="22"/>
        </w:rPr>
        <w:t xml:space="preserve">encourage and </w:t>
      </w:r>
      <w:r w:rsidR="004C2D6E">
        <w:rPr>
          <w:rFonts w:asciiTheme="minorHAnsi" w:hAnsiTheme="minorHAnsi" w:cstheme="minorHAnsi"/>
          <w:sz w:val="22"/>
          <w:szCs w:val="22"/>
        </w:rPr>
        <w:t>facilitate</w:t>
      </w:r>
      <w:r w:rsidR="00BC585C">
        <w:rPr>
          <w:rFonts w:asciiTheme="minorHAnsi" w:hAnsiTheme="minorHAnsi" w:cstheme="minorHAnsi"/>
          <w:sz w:val="22"/>
          <w:szCs w:val="22"/>
        </w:rPr>
        <w:t xml:space="preserve"> the purchase of goods and services from Washington small businesses and veteran-owned businesses.  </w:t>
      </w:r>
    </w:p>
    <w:p w14:paraId="479EAF7E" w14:textId="7E56A7B2" w:rsidR="007D4D98" w:rsidRPr="006754AC" w:rsidRDefault="00627B8A" w:rsidP="005231E9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Statutory Authority</w:t>
      </w:r>
    </w:p>
    <w:p w14:paraId="11988256" w14:textId="5D6C43A2" w:rsidR="006C5F3B" w:rsidRPr="005231E9" w:rsidRDefault="006C5F3B" w:rsidP="005231E9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RCW 39.26.005 Intent </w:t>
      </w:r>
      <w:r w:rsidRPr="005231E9">
        <w:rPr>
          <w:rFonts w:asciiTheme="minorHAnsi" w:hAnsiTheme="minorHAnsi" w:cstheme="minorHAnsi"/>
          <w:sz w:val="22"/>
          <w:szCs w:val="22"/>
        </w:rPr>
        <w:t>The legislature intends that the state develop procurement policies, procedures, and materials that encourage and facilitate state agency purchase of goods and services from Washington small businesses.</w:t>
      </w:r>
    </w:p>
    <w:p w14:paraId="627AA89F" w14:textId="7D006F89" w:rsidR="006C5F3B" w:rsidRDefault="006C5F3B" w:rsidP="005231E9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b/>
          <w:bCs/>
          <w:sz w:val="22"/>
          <w:szCs w:val="22"/>
        </w:rPr>
        <w:t xml:space="preserve">RCW 39.26.090(6) </w:t>
      </w:r>
      <w:r w:rsidR="00627B8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5231E9">
        <w:rPr>
          <w:rFonts w:asciiTheme="minorHAnsi" w:hAnsiTheme="minorHAnsi" w:cstheme="minorHAnsi"/>
          <w:sz w:val="22"/>
          <w:szCs w:val="22"/>
        </w:rPr>
        <w:t>D</w:t>
      </w:r>
      <w:r w:rsidR="00627B8A">
        <w:rPr>
          <w:rFonts w:asciiTheme="minorHAnsi" w:hAnsiTheme="minorHAnsi" w:cstheme="minorHAnsi"/>
          <w:sz w:val="22"/>
          <w:szCs w:val="22"/>
        </w:rPr>
        <w:t>epar</w:t>
      </w:r>
      <w:r w:rsidR="00E640F0">
        <w:rPr>
          <w:rFonts w:asciiTheme="minorHAnsi" w:hAnsiTheme="minorHAnsi" w:cstheme="minorHAnsi"/>
          <w:sz w:val="22"/>
          <w:szCs w:val="22"/>
        </w:rPr>
        <w:t>t</w:t>
      </w:r>
      <w:r w:rsidR="00627B8A">
        <w:rPr>
          <w:rFonts w:asciiTheme="minorHAnsi" w:hAnsiTheme="minorHAnsi" w:cstheme="minorHAnsi"/>
          <w:sz w:val="22"/>
          <w:szCs w:val="22"/>
        </w:rPr>
        <w:t xml:space="preserve">ment of </w:t>
      </w:r>
      <w:r w:rsidRPr="005231E9">
        <w:rPr>
          <w:rFonts w:asciiTheme="minorHAnsi" w:hAnsiTheme="minorHAnsi" w:cstheme="minorHAnsi"/>
          <w:sz w:val="22"/>
          <w:szCs w:val="22"/>
        </w:rPr>
        <w:t>E</w:t>
      </w:r>
      <w:r w:rsidR="00627B8A">
        <w:rPr>
          <w:rFonts w:asciiTheme="minorHAnsi" w:hAnsiTheme="minorHAnsi" w:cstheme="minorHAnsi"/>
          <w:sz w:val="22"/>
          <w:szCs w:val="22"/>
        </w:rPr>
        <w:t xml:space="preserve">nterprise </w:t>
      </w:r>
      <w:r w:rsidRPr="005231E9">
        <w:rPr>
          <w:rFonts w:asciiTheme="minorHAnsi" w:hAnsiTheme="minorHAnsi" w:cstheme="minorHAnsi"/>
          <w:sz w:val="22"/>
          <w:szCs w:val="22"/>
        </w:rPr>
        <w:t>S</w:t>
      </w:r>
      <w:r w:rsidR="00627B8A">
        <w:rPr>
          <w:rFonts w:asciiTheme="minorHAnsi" w:hAnsiTheme="minorHAnsi" w:cstheme="minorHAnsi"/>
          <w:sz w:val="22"/>
          <w:szCs w:val="22"/>
        </w:rPr>
        <w:t>ervices</w:t>
      </w:r>
      <w:r w:rsidRPr="005231E9">
        <w:rPr>
          <w:rFonts w:asciiTheme="minorHAnsi" w:hAnsiTheme="minorHAnsi" w:cstheme="minorHAnsi"/>
          <w:sz w:val="22"/>
          <w:szCs w:val="22"/>
        </w:rPr>
        <w:t xml:space="preserve"> </w:t>
      </w:r>
      <w:r w:rsidR="00224705">
        <w:rPr>
          <w:rFonts w:asciiTheme="minorHAnsi" w:hAnsiTheme="minorHAnsi" w:cstheme="minorHAnsi"/>
          <w:sz w:val="22"/>
          <w:szCs w:val="22"/>
        </w:rPr>
        <w:t xml:space="preserve">(DES) </w:t>
      </w:r>
      <w:r w:rsidRPr="005231E9">
        <w:rPr>
          <w:rFonts w:asciiTheme="minorHAnsi" w:hAnsiTheme="minorHAnsi" w:cstheme="minorHAnsi"/>
          <w:sz w:val="22"/>
          <w:szCs w:val="22"/>
        </w:rPr>
        <w:t>is to develop procurement policies and procedures, such as unbundled contracting and subcontracting that encourage and facilitate the purchase of goods and services from Washington small businesses.</w:t>
      </w:r>
    </w:p>
    <w:p w14:paraId="597D3636" w14:textId="15B43615" w:rsidR="004C2D6E" w:rsidRPr="005231E9" w:rsidRDefault="004C2D6E" w:rsidP="005231E9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2D6E">
        <w:rPr>
          <w:rFonts w:asciiTheme="minorHAnsi" w:hAnsiTheme="minorHAnsi" w:cstheme="minorHAnsi"/>
          <w:b/>
          <w:sz w:val="22"/>
          <w:szCs w:val="22"/>
        </w:rPr>
        <w:t>RCW 39.19</w:t>
      </w:r>
      <w:r w:rsidR="00627B8A">
        <w:rPr>
          <w:rFonts w:asciiTheme="minorHAnsi" w:hAnsiTheme="minorHAnsi" w:cstheme="minorHAnsi"/>
          <w:b/>
          <w:sz w:val="22"/>
          <w:szCs w:val="22"/>
        </w:rPr>
        <w:t>.010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7B8A">
        <w:rPr>
          <w:rFonts w:asciiTheme="minorHAnsi" w:hAnsiTheme="minorHAnsi" w:cstheme="minorHAnsi"/>
          <w:sz w:val="22"/>
          <w:szCs w:val="22"/>
        </w:rPr>
        <w:t>Washi</w:t>
      </w:r>
      <w:r w:rsidR="00C921B4">
        <w:rPr>
          <w:rFonts w:asciiTheme="minorHAnsi" w:hAnsiTheme="minorHAnsi" w:cstheme="minorHAnsi"/>
          <w:sz w:val="22"/>
          <w:szCs w:val="22"/>
        </w:rPr>
        <w:t>n</w:t>
      </w:r>
      <w:r w:rsidR="00627B8A">
        <w:rPr>
          <w:rFonts w:asciiTheme="minorHAnsi" w:hAnsiTheme="minorHAnsi" w:cstheme="minorHAnsi"/>
          <w:sz w:val="22"/>
          <w:szCs w:val="22"/>
        </w:rPr>
        <w:t xml:space="preserve">gton State </w:t>
      </w:r>
      <w:r w:rsidR="00224705">
        <w:rPr>
          <w:rFonts w:asciiTheme="minorHAnsi" w:hAnsiTheme="minorHAnsi" w:cstheme="minorHAnsi"/>
          <w:sz w:val="22"/>
          <w:szCs w:val="22"/>
        </w:rPr>
        <w:t xml:space="preserve">is </w:t>
      </w:r>
      <w:r w:rsidR="00627B8A">
        <w:rPr>
          <w:rFonts w:asciiTheme="minorHAnsi" w:hAnsiTheme="minorHAnsi" w:cstheme="minorHAnsi"/>
          <w:sz w:val="22"/>
          <w:szCs w:val="22"/>
        </w:rPr>
        <w:t>to p</w:t>
      </w:r>
      <w:r w:rsidRPr="005231E9">
        <w:rPr>
          <w:rFonts w:asciiTheme="minorHAnsi" w:hAnsiTheme="minorHAnsi" w:cstheme="minorHAnsi"/>
          <w:sz w:val="22"/>
          <w:szCs w:val="22"/>
        </w:rPr>
        <w:t>rovide the maximum practicable opportunity for increased participation by minority and women-owned and controlled businesses in participating in the process by which goods and services are procured by state agencies and educational insti</w:t>
      </w:r>
      <w:r>
        <w:rPr>
          <w:rFonts w:asciiTheme="minorHAnsi" w:hAnsiTheme="minorHAnsi" w:cstheme="minorHAnsi"/>
          <w:sz w:val="22"/>
          <w:szCs w:val="22"/>
        </w:rPr>
        <w:t>tutions from the private sector</w:t>
      </w:r>
      <w:r w:rsidRPr="005231E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271A366" w14:textId="3D8B8784" w:rsidR="006C5F3B" w:rsidRPr="005231E9" w:rsidRDefault="006C5F3B" w:rsidP="005231E9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b/>
          <w:bCs/>
          <w:sz w:val="22"/>
          <w:szCs w:val="22"/>
        </w:rPr>
        <w:t>Executive Order 19-01</w:t>
      </w:r>
      <w:r w:rsidRPr="005231E9">
        <w:rPr>
          <w:rFonts w:asciiTheme="minorHAnsi" w:hAnsiTheme="minorHAnsi" w:cstheme="minorHAnsi"/>
          <w:sz w:val="22"/>
          <w:szCs w:val="22"/>
        </w:rPr>
        <w:t xml:space="preserve"> (signed on 5/13/19) DES in conjunction with the Department of Veteran’s Affairs (DVA), and the Office of Minority and Women Business Enterprises (OMWBE), is responsible for establishing a new policy regarding procurement practices and preferences to promote state agency contracting with veteran</w:t>
      </w:r>
      <w:r w:rsidR="00727A6F">
        <w:rPr>
          <w:rFonts w:asciiTheme="minorHAnsi" w:hAnsiTheme="minorHAnsi" w:cstheme="minorHAnsi"/>
          <w:sz w:val="22"/>
          <w:szCs w:val="22"/>
        </w:rPr>
        <w:t>-</w:t>
      </w:r>
      <w:r w:rsidRPr="005231E9">
        <w:rPr>
          <w:rFonts w:asciiTheme="minorHAnsi" w:hAnsiTheme="minorHAnsi" w:cstheme="minorHAnsi"/>
          <w:sz w:val="22"/>
          <w:szCs w:val="22"/>
        </w:rPr>
        <w:t>owned businesses.</w:t>
      </w:r>
    </w:p>
    <w:p w14:paraId="7C2F4F5B" w14:textId="77777777" w:rsidR="006C5F3B" w:rsidRPr="005231E9" w:rsidRDefault="006C5F3B" w:rsidP="005231E9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b/>
          <w:bCs/>
          <w:sz w:val="22"/>
          <w:szCs w:val="22"/>
        </w:rPr>
        <w:t xml:space="preserve">Veteran-Owned Business Purchasing Goals </w:t>
      </w:r>
      <w:r w:rsidRPr="005231E9">
        <w:rPr>
          <w:rFonts w:asciiTheme="minorHAnsi" w:hAnsiTheme="minorHAnsi" w:cstheme="minorHAnsi"/>
          <w:sz w:val="22"/>
          <w:szCs w:val="22"/>
        </w:rPr>
        <w:t>:</w:t>
      </w:r>
    </w:p>
    <w:p w14:paraId="3E045C68" w14:textId="2CDA9C29" w:rsidR="00887A41" w:rsidRPr="005231E9" w:rsidRDefault="006C5F3B" w:rsidP="00B01C89">
      <w:pPr>
        <w:pStyle w:val="NoSpacing"/>
        <w:numPr>
          <w:ilvl w:val="1"/>
          <w:numId w:val="22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2D6E">
        <w:rPr>
          <w:rFonts w:asciiTheme="minorHAnsi" w:hAnsiTheme="minorHAnsi" w:cstheme="minorHAnsi"/>
          <w:b/>
          <w:sz w:val="22"/>
          <w:szCs w:val="22"/>
        </w:rPr>
        <w:t>RCW 43.60A.200</w:t>
      </w:r>
      <w:r w:rsidR="009A7808" w:rsidRPr="005231E9">
        <w:rPr>
          <w:rFonts w:asciiTheme="minorHAnsi" w:hAnsiTheme="minorHAnsi" w:cstheme="minorHAnsi"/>
          <w:sz w:val="22"/>
          <w:szCs w:val="22"/>
        </w:rPr>
        <w:t xml:space="preserve"> </w:t>
      </w:r>
      <w:r w:rsidR="00224705">
        <w:rPr>
          <w:rFonts w:asciiTheme="minorHAnsi" w:hAnsiTheme="minorHAnsi" w:cstheme="minorHAnsi"/>
          <w:sz w:val="22"/>
          <w:szCs w:val="22"/>
        </w:rPr>
        <w:t xml:space="preserve">State agencies are encouraged to award </w:t>
      </w:r>
      <w:r w:rsidR="009A7808" w:rsidRPr="005231E9">
        <w:rPr>
          <w:rFonts w:asciiTheme="minorHAnsi" w:hAnsiTheme="minorHAnsi" w:cstheme="minorHAnsi"/>
          <w:sz w:val="22"/>
          <w:szCs w:val="22"/>
        </w:rPr>
        <w:t xml:space="preserve">3% </w:t>
      </w:r>
      <w:r w:rsidR="00224705">
        <w:rPr>
          <w:rFonts w:asciiTheme="minorHAnsi" w:hAnsiTheme="minorHAnsi" w:cstheme="minorHAnsi"/>
          <w:sz w:val="22"/>
          <w:szCs w:val="22"/>
        </w:rPr>
        <w:t>of n</w:t>
      </w:r>
      <w:r w:rsidR="009A7808" w:rsidRPr="005231E9">
        <w:rPr>
          <w:rFonts w:asciiTheme="minorHAnsi" w:hAnsiTheme="minorHAnsi" w:cstheme="minorHAnsi"/>
          <w:sz w:val="22"/>
          <w:szCs w:val="22"/>
        </w:rPr>
        <w:t>on-competitive purchases</w:t>
      </w:r>
      <w:r w:rsidR="00224705">
        <w:rPr>
          <w:rFonts w:asciiTheme="minorHAnsi" w:hAnsiTheme="minorHAnsi" w:cstheme="minorHAnsi"/>
          <w:sz w:val="22"/>
          <w:szCs w:val="22"/>
        </w:rPr>
        <w:t xml:space="preserve"> to certified Veteran-Owned businesses.</w:t>
      </w:r>
    </w:p>
    <w:p w14:paraId="2714252F" w14:textId="407D4389" w:rsidR="006C5F3B" w:rsidRPr="00224705" w:rsidRDefault="0006627A" w:rsidP="00B01C89">
      <w:pPr>
        <w:pStyle w:val="NoSpacing"/>
        <w:numPr>
          <w:ilvl w:val="1"/>
          <w:numId w:val="22"/>
        </w:numPr>
        <w:spacing w:before="120"/>
        <w:ind w:left="720"/>
        <w:rPr>
          <w:rFonts w:ascii="Calibri" w:hAnsi="Calibri" w:cstheme="minorHAnsi"/>
          <w:sz w:val="22"/>
          <w:szCs w:val="22"/>
        </w:rPr>
      </w:pPr>
      <w:r w:rsidRPr="00224705">
        <w:rPr>
          <w:rFonts w:ascii="Calibri" w:hAnsi="Calibri" w:cstheme="minorHAnsi"/>
          <w:b/>
          <w:sz w:val="22"/>
          <w:szCs w:val="22"/>
        </w:rPr>
        <w:t>Executive Order 13-01</w:t>
      </w:r>
      <w:r w:rsidR="009A7808" w:rsidRPr="00224705">
        <w:rPr>
          <w:rFonts w:ascii="Calibri" w:hAnsi="Calibri" w:cstheme="minorHAnsi"/>
          <w:sz w:val="22"/>
          <w:szCs w:val="22"/>
        </w:rPr>
        <w:t xml:space="preserve"> </w:t>
      </w:r>
      <w:proofErr w:type="gramStart"/>
      <w:r w:rsidR="00224705" w:rsidRPr="00224705">
        <w:rPr>
          <w:rFonts w:ascii="Calibri" w:hAnsi="Calibri"/>
          <w:sz w:val="22"/>
        </w:rPr>
        <w:t>Each</w:t>
      </w:r>
      <w:proofErr w:type="gramEnd"/>
      <w:r w:rsidR="00224705" w:rsidRPr="00224705">
        <w:rPr>
          <w:rFonts w:ascii="Calibri" w:hAnsi="Calibri"/>
          <w:sz w:val="22"/>
        </w:rPr>
        <w:t xml:space="preserve"> executive cabinet agency shall set a target of awarding at least </w:t>
      </w:r>
      <w:r w:rsidR="00224705" w:rsidRPr="00224705">
        <w:rPr>
          <w:rFonts w:ascii="Calibri" w:hAnsi="Calibri" w:cstheme="minorHAnsi"/>
          <w:sz w:val="22"/>
          <w:szCs w:val="22"/>
        </w:rPr>
        <w:t xml:space="preserve">5% </w:t>
      </w:r>
      <w:r w:rsidR="00224705" w:rsidRPr="00224705">
        <w:rPr>
          <w:rFonts w:ascii="Calibri" w:hAnsi="Calibri"/>
          <w:sz w:val="22"/>
        </w:rPr>
        <w:t xml:space="preserve">of all procurement contracts </w:t>
      </w:r>
      <w:r w:rsidR="00224705" w:rsidRPr="00224705">
        <w:rPr>
          <w:rFonts w:ascii="Calibri" w:hAnsi="Calibri" w:cstheme="minorHAnsi"/>
          <w:sz w:val="22"/>
          <w:szCs w:val="22"/>
        </w:rPr>
        <w:t>to certified Veteran-Owned businesses.</w:t>
      </w:r>
    </w:p>
    <w:p w14:paraId="462F116D" w14:textId="03CB66E6" w:rsidR="00445057" w:rsidRPr="006754AC" w:rsidRDefault="004C2D6E" w:rsidP="005231E9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59CD">
        <w:rPr>
          <w:rFonts w:asciiTheme="minorHAnsi" w:hAnsiTheme="minorHAnsi" w:cstheme="minorHAnsi"/>
          <w:b/>
          <w:sz w:val="24"/>
          <w:szCs w:val="24"/>
        </w:rPr>
        <w:t>Leadership Commitment</w:t>
      </w:r>
    </w:p>
    <w:p w14:paraId="0B257F86" w14:textId="3C716A25" w:rsidR="0006204B" w:rsidRPr="004C2D6E" w:rsidRDefault="001A59CD" w:rsidP="00E653C0">
      <w:pPr>
        <w:pStyle w:val="ListParagraph"/>
        <w:numPr>
          <w:ilvl w:val="0"/>
          <w:numId w:val="11"/>
        </w:numPr>
        <w:tabs>
          <w:tab w:val="left" w:pos="90"/>
        </w:tabs>
        <w:ind w:left="360"/>
        <w:rPr>
          <w:rFonts w:cstheme="minorHAnsi"/>
        </w:rPr>
      </w:pPr>
      <w:r>
        <w:rPr>
          <w:rFonts w:cstheme="minorHAnsi"/>
        </w:rPr>
        <w:t>Agency e</w:t>
      </w:r>
      <w:r w:rsidR="0006204B" w:rsidRPr="004C2D6E">
        <w:rPr>
          <w:rFonts w:cstheme="minorHAnsi"/>
        </w:rPr>
        <w:t>xecutive leadership will:</w:t>
      </w:r>
    </w:p>
    <w:p w14:paraId="5ED9F1FC" w14:textId="2094A68E" w:rsidR="009141B6" w:rsidRDefault="00224705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Include b</w:t>
      </w:r>
      <w:r w:rsidR="0006204B" w:rsidRPr="0006204B">
        <w:rPr>
          <w:rFonts w:eastAsia="Times New Roman" w:cstheme="minorHAnsi"/>
        </w:rPr>
        <w:t>usiness diversity</w:t>
      </w:r>
      <w:r w:rsidR="009141B6">
        <w:rPr>
          <w:rFonts w:eastAsia="Times New Roman" w:cstheme="minorHAnsi"/>
        </w:rPr>
        <w:t xml:space="preserve"> focus </w:t>
      </w:r>
      <w:r w:rsidR="004B6C20">
        <w:rPr>
          <w:rFonts w:eastAsia="Times New Roman" w:cstheme="minorHAnsi"/>
        </w:rPr>
        <w:t>in the agency’s str</w:t>
      </w:r>
      <w:r w:rsidR="009141B6">
        <w:rPr>
          <w:rFonts w:eastAsia="Times New Roman" w:cstheme="minorHAnsi"/>
        </w:rPr>
        <w:t>ategic plan</w:t>
      </w:r>
    </w:p>
    <w:p w14:paraId="693E81EF" w14:textId="2D089382" w:rsidR="00B778F5" w:rsidRDefault="00B778F5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Set business diversity goals, consistent with authorizing statutes</w:t>
      </w:r>
    </w:p>
    <w:p w14:paraId="3899EBC1" w14:textId="2EFEFBB6" w:rsidR="0006204B" w:rsidRDefault="00B778F5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Transparency</w:t>
      </w:r>
    </w:p>
    <w:p w14:paraId="55745479" w14:textId="541B2122" w:rsidR="001A59CD" w:rsidRPr="0006204B" w:rsidRDefault="001A59CD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Designate </w:t>
      </w:r>
      <w:r w:rsidR="00C921B4">
        <w:rPr>
          <w:rFonts w:eastAsia="Times New Roman" w:cstheme="minorHAnsi"/>
        </w:rPr>
        <w:t>Agency leader(s) with the responsibility for increasing your Agency’s spending with small, minority, women, and veteran-owned businesses.</w:t>
      </w:r>
    </w:p>
    <w:p w14:paraId="03F62E2C" w14:textId="0456771C" w:rsidR="0006204B" w:rsidRDefault="0006204B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 w:rsidRPr="0006204B">
        <w:rPr>
          <w:rFonts w:eastAsia="Times New Roman" w:cstheme="minorHAnsi"/>
        </w:rPr>
        <w:t xml:space="preserve">Review business diversity goals and progress </w:t>
      </w:r>
    </w:p>
    <w:p w14:paraId="59887223" w14:textId="3D1D0F88" w:rsidR="00B81A14" w:rsidRPr="0006204B" w:rsidRDefault="00B81A14" w:rsidP="00A0661D">
      <w:pPr>
        <w:pStyle w:val="ListParagraph"/>
        <w:numPr>
          <w:ilvl w:val="0"/>
          <w:numId w:val="16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Develop agency expectations ar</w:t>
      </w:r>
      <w:r w:rsidR="00A0661D">
        <w:rPr>
          <w:rFonts w:eastAsia="Times New Roman" w:cstheme="minorHAnsi"/>
        </w:rPr>
        <w:t>ound outreach, inclusion plans, etc.</w:t>
      </w:r>
    </w:p>
    <w:p w14:paraId="01084476" w14:textId="77777777" w:rsidR="00B01C89" w:rsidRPr="00351021" w:rsidRDefault="00B01C89" w:rsidP="00B01C89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1021">
        <w:rPr>
          <w:rFonts w:asciiTheme="minorHAnsi" w:hAnsiTheme="minorHAnsi" w:cstheme="minorHAnsi"/>
          <w:b/>
          <w:sz w:val="24"/>
          <w:szCs w:val="24"/>
        </w:rPr>
        <w:t>Forecasting</w:t>
      </w:r>
    </w:p>
    <w:p w14:paraId="3537197E" w14:textId="77777777" w:rsidR="00B01C89" w:rsidRPr="00871F3B" w:rsidRDefault="00B01C89" w:rsidP="00B01C89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Analyze Data</w:t>
      </w:r>
    </w:p>
    <w:p w14:paraId="1DD9BA36" w14:textId="77777777" w:rsidR="00B01C89" w:rsidRPr="00871F3B" w:rsidRDefault="00B01C89" w:rsidP="00B01C89">
      <w:pPr>
        <w:pStyle w:val="ListParagraph"/>
        <w:numPr>
          <w:ilvl w:val="1"/>
          <w:numId w:val="12"/>
        </w:numPr>
        <w:spacing w:after="200" w:line="276" w:lineRule="auto"/>
        <w:ind w:left="720"/>
        <w:rPr>
          <w:rFonts w:eastAsia="Times New Roman" w:cstheme="minorHAnsi"/>
          <w:bCs/>
        </w:rPr>
      </w:pPr>
      <w:r w:rsidRPr="00871F3B">
        <w:rPr>
          <w:rFonts w:eastAsia="Times New Roman" w:cstheme="minorHAnsi"/>
          <w:bCs/>
        </w:rPr>
        <w:t xml:space="preserve">Analyze </w:t>
      </w:r>
      <w:r>
        <w:rPr>
          <w:rFonts w:eastAsia="Times New Roman" w:cstheme="minorHAnsi"/>
          <w:bCs/>
        </w:rPr>
        <w:t xml:space="preserve">spending </w:t>
      </w:r>
      <w:r w:rsidRPr="00871F3B">
        <w:rPr>
          <w:rFonts w:eastAsia="Times New Roman" w:cstheme="minorHAnsi"/>
          <w:bCs/>
        </w:rPr>
        <w:t xml:space="preserve">trends </w:t>
      </w:r>
    </w:p>
    <w:p w14:paraId="44C97AE1" w14:textId="77777777" w:rsidR="00B01C89" w:rsidRPr="00871F3B" w:rsidRDefault="00B01C89" w:rsidP="00B01C89">
      <w:pPr>
        <w:pStyle w:val="ListParagraph"/>
        <w:numPr>
          <w:ilvl w:val="1"/>
          <w:numId w:val="12"/>
        </w:numPr>
        <w:spacing w:after="200" w:line="276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Availability</w:t>
      </w:r>
      <w:r w:rsidRPr="00871F3B">
        <w:rPr>
          <w:rFonts w:eastAsia="Times New Roman" w:cstheme="minorHAnsi"/>
          <w:bCs/>
        </w:rPr>
        <w:t xml:space="preserve"> of diverse suppliers in re</w:t>
      </w:r>
      <w:r>
        <w:rPr>
          <w:rFonts w:eastAsia="Times New Roman" w:cstheme="minorHAnsi"/>
          <w:bCs/>
        </w:rPr>
        <w:t>levant industries</w:t>
      </w:r>
      <w:r w:rsidRPr="00871F3B">
        <w:rPr>
          <w:rFonts w:eastAsia="Times New Roman" w:cstheme="minorHAnsi"/>
          <w:bCs/>
        </w:rPr>
        <w:t xml:space="preserve"> </w:t>
      </w:r>
    </w:p>
    <w:p w14:paraId="007BCFFD" w14:textId="77777777" w:rsidR="00B01C89" w:rsidRPr="004139ED" w:rsidRDefault="00B01C89" w:rsidP="00B01C89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eastAsia="Times New Roman" w:cstheme="minorHAnsi"/>
          <w:bCs/>
        </w:rPr>
      </w:pPr>
      <w:r w:rsidRPr="00B01C89">
        <w:rPr>
          <w:rFonts w:eastAsia="Times New Roman" w:cstheme="minorHAnsi"/>
          <w:bCs/>
        </w:rPr>
        <w:t>Planning</w:t>
      </w:r>
    </w:p>
    <w:p w14:paraId="18F8A350" w14:textId="2FD2E946" w:rsidR="00B01C89" w:rsidRPr="004139ED" w:rsidRDefault="00B01C89" w:rsidP="003731F1">
      <w:pPr>
        <w:pStyle w:val="ListParagraph"/>
        <w:numPr>
          <w:ilvl w:val="0"/>
          <w:numId w:val="13"/>
        </w:numPr>
        <w:spacing w:before="120" w:after="200" w:line="276" w:lineRule="auto"/>
        <w:ind w:left="720"/>
        <w:jc w:val="both"/>
        <w:rPr>
          <w:rFonts w:cstheme="minorHAnsi"/>
          <w:sz w:val="24"/>
          <w:szCs w:val="24"/>
        </w:rPr>
      </w:pPr>
      <w:r w:rsidRPr="004139ED">
        <w:rPr>
          <w:rFonts w:eastAsia="Times New Roman" w:cstheme="minorHAnsi"/>
          <w:bCs/>
        </w:rPr>
        <w:t xml:space="preserve">Increase small and diverse business utilization </w:t>
      </w:r>
    </w:p>
    <w:p w14:paraId="51428C2C" w14:textId="7AE7E90E" w:rsidR="00B01C89" w:rsidRPr="004139ED" w:rsidRDefault="00B01C89" w:rsidP="003731F1">
      <w:pPr>
        <w:pStyle w:val="ListParagraph"/>
        <w:numPr>
          <w:ilvl w:val="0"/>
          <w:numId w:val="13"/>
        </w:numPr>
        <w:spacing w:before="120" w:after="200" w:line="276" w:lineRule="auto"/>
        <w:ind w:left="720"/>
        <w:jc w:val="both"/>
        <w:rPr>
          <w:rFonts w:cstheme="minorHAnsi"/>
          <w:sz w:val="24"/>
          <w:szCs w:val="24"/>
        </w:rPr>
      </w:pPr>
      <w:r w:rsidRPr="004139ED">
        <w:rPr>
          <w:rFonts w:eastAsia="Times New Roman" w:cstheme="minorHAnsi"/>
          <w:bCs/>
        </w:rPr>
        <w:t>Target contract and procurement opportunities</w:t>
      </w:r>
    </w:p>
    <w:p w14:paraId="2DE4C329" w14:textId="32460A6A" w:rsidR="004139ED" w:rsidRPr="004139ED" w:rsidRDefault="004139ED" w:rsidP="004139ED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4139ED">
        <w:rPr>
          <w:rFonts w:cstheme="minorHAnsi"/>
          <w:sz w:val="24"/>
          <w:szCs w:val="24"/>
        </w:rPr>
        <w:t>Data policy</w:t>
      </w:r>
    </w:p>
    <w:p w14:paraId="15D51E88" w14:textId="556CFD69" w:rsidR="00733D1E" w:rsidRPr="006754AC" w:rsidRDefault="00733D1E" w:rsidP="005231E9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54AC">
        <w:rPr>
          <w:rFonts w:asciiTheme="minorHAnsi" w:hAnsiTheme="minorHAnsi" w:cstheme="minorHAnsi"/>
          <w:b/>
          <w:sz w:val="24"/>
          <w:szCs w:val="24"/>
        </w:rPr>
        <w:t>Outreach</w:t>
      </w:r>
    </w:p>
    <w:p w14:paraId="4DCA41F3" w14:textId="3EEC02E0" w:rsidR="005231E9" w:rsidRPr="005231E9" w:rsidRDefault="001A59CD" w:rsidP="006754AC">
      <w:pPr>
        <w:pStyle w:val="ListParagraph"/>
        <w:numPr>
          <w:ilvl w:val="0"/>
          <w:numId w:val="21"/>
        </w:numPr>
        <w:ind w:left="360"/>
        <w:rPr>
          <w:rFonts w:cstheme="minorHAnsi"/>
        </w:rPr>
      </w:pPr>
      <w:r>
        <w:rPr>
          <w:rFonts w:eastAsia="Times New Roman" w:cstheme="minorHAnsi"/>
          <w:bCs/>
        </w:rPr>
        <w:t>Agency procurement staff will conduct o</w:t>
      </w:r>
      <w:r w:rsidR="005231E9" w:rsidRPr="005231E9">
        <w:rPr>
          <w:rFonts w:eastAsia="Times New Roman" w:cstheme="minorHAnsi"/>
          <w:bCs/>
        </w:rPr>
        <w:t xml:space="preserve">utreach to </w:t>
      </w:r>
      <w:r>
        <w:rPr>
          <w:rFonts w:eastAsia="Times New Roman" w:cstheme="minorHAnsi"/>
          <w:bCs/>
        </w:rPr>
        <w:t>Washington small and veteran-owned businesses, using the agency’s outreach expectations and Office of Minority and Women’s Business Enterprise (OMWBE) Inclusion Plan.</w:t>
      </w:r>
    </w:p>
    <w:p w14:paraId="1B9B9003" w14:textId="782D5DC8" w:rsidR="005260DC" w:rsidRDefault="005260DC" w:rsidP="006754AC">
      <w:pPr>
        <w:pStyle w:val="ListParagraph"/>
        <w:numPr>
          <w:ilvl w:val="0"/>
          <w:numId w:val="21"/>
        </w:numPr>
        <w:spacing w:before="80" w:after="0" w:line="240" w:lineRule="auto"/>
        <w:ind w:left="36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Agency </w:t>
      </w:r>
      <w:r w:rsidR="00B81A14">
        <w:rPr>
          <w:rFonts w:eastAsia="Times New Roman" w:cstheme="minorHAnsi"/>
        </w:rPr>
        <w:t xml:space="preserve">outreach </w:t>
      </w:r>
      <w:r>
        <w:rPr>
          <w:rFonts w:eastAsia="Times New Roman" w:cstheme="minorHAnsi"/>
        </w:rPr>
        <w:t xml:space="preserve">expectations </w:t>
      </w:r>
    </w:p>
    <w:p w14:paraId="1812B775" w14:textId="7B978D4E" w:rsidR="00485BEB" w:rsidRDefault="00A0661D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Ou</w:t>
      </w:r>
      <w:r w:rsidR="00485BEB">
        <w:rPr>
          <w:rFonts w:eastAsia="Times New Roman" w:cstheme="minorHAnsi"/>
        </w:rPr>
        <w:t>treach plan</w:t>
      </w:r>
      <w:r w:rsidR="001A1793">
        <w:rPr>
          <w:rFonts w:eastAsia="Times New Roman" w:cstheme="minorHAnsi"/>
        </w:rPr>
        <w:t>s</w:t>
      </w:r>
      <w:r w:rsidR="00485BEB">
        <w:rPr>
          <w:rFonts w:eastAsia="Times New Roman" w:cstheme="minorHAnsi"/>
        </w:rPr>
        <w:t xml:space="preserve"> related to the procurement of goods and services</w:t>
      </w:r>
    </w:p>
    <w:p w14:paraId="04BFE37F" w14:textId="78153F6C" w:rsidR="00FC415F" w:rsidRPr="005231E9" w:rsidRDefault="001A1793" w:rsidP="00A0661D">
      <w:pPr>
        <w:pStyle w:val="ListParagraph"/>
        <w:numPr>
          <w:ilvl w:val="2"/>
          <w:numId w:val="37"/>
        </w:numPr>
        <w:spacing w:before="80" w:after="0" w:line="240" w:lineRule="auto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FC415F" w:rsidRPr="005231E9">
        <w:rPr>
          <w:rFonts w:eastAsia="Times New Roman" w:cstheme="minorHAnsi"/>
        </w:rPr>
        <w:t xml:space="preserve">upport, technical assistance and guidance. </w:t>
      </w:r>
    </w:p>
    <w:p w14:paraId="697A10D7" w14:textId="3B5B44BC" w:rsidR="00485BEB" w:rsidRDefault="001A1793" w:rsidP="00A0661D">
      <w:pPr>
        <w:pStyle w:val="ListParagraph"/>
        <w:numPr>
          <w:ilvl w:val="2"/>
          <w:numId w:val="37"/>
        </w:numPr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485BEB">
        <w:rPr>
          <w:rFonts w:eastAsia="Times New Roman" w:cstheme="minorHAnsi"/>
        </w:rPr>
        <w:t>ublicly posted</w:t>
      </w:r>
    </w:p>
    <w:p w14:paraId="268D4AAA" w14:textId="14BCE6FA" w:rsidR="00AA58DA" w:rsidRPr="001A1793" w:rsidRDefault="001A1793" w:rsidP="00A0661D">
      <w:pPr>
        <w:pStyle w:val="ListParagraph"/>
        <w:numPr>
          <w:ilvl w:val="2"/>
          <w:numId w:val="37"/>
        </w:numPr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Staff (</w:t>
      </w:r>
      <w:r w:rsidR="004139ED">
        <w:rPr>
          <w:rFonts w:eastAsia="Times New Roman" w:cstheme="minorHAnsi"/>
        </w:rPr>
        <w:t xml:space="preserve">roles/responsibilities, </w:t>
      </w:r>
      <w:r>
        <w:rPr>
          <w:rFonts w:eastAsia="Times New Roman" w:cstheme="minorHAnsi"/>
        </w:rPr>
        <w:t>competency and designated lead)</w:t>
      </w:r>
    </w:p>
    <w:p w14:paraId="46D0C6CC" w14:textId="147FA109" w:rsidR="00485BEB" w:rsidRDefault="00485BEB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Budget for outreach</w:t>
      </w:r>
    </w:p>
    <w:p w14:paraId="495DEE3E" w14:textId="432779D2" w:rsidR="004139ED" w:rsidRDefault="004139ED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Targeted outreach opportunities</w:t>
      </w:r>
    </w:p>
    <w:p w14:paraId="5C795776" w14:textId="4782AB06" w:rsidR="004139ED" w:rsidRDefault="004139ED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Communication methods</w:t>
      </w:r>
    </w:p>
    <w:p w14:paraId="7E9CB62E" w14:textId="2DF5CA48" w:rsidR="00B81A14" w:rsidRDefault="00B81A14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Performance measures and monitoring plan</w:t>
      </w:r>
    </w:p>
    <w:p w14:paraId="6BAA5768" w14:textId="25CFB541" w:rsidR="00A0661D" w:rsidRDefault="00A0661D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Feedback process</w:t>
      </w:r>
    </w:p>
    <w:p w14:paraId="799C8ECA" w14:textId="17387342" w:rsidR="00A0661D" w:rsidRPr="00A0661D" w:rsidRDefault="00EB43EF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B81A14">
        <w:rPr>
          <w:rFonts w:eastAsia="Times New Roman" w:cstheme="minorHAnsi"/>
        </w:rPr>
        <w:t>eview</w:t>
      </w:r>
    </w:p>
    <w:p w14:paraId="6C47C0E4" w14:textId="292BEBE1" w:rsidR="00A0661D" w:rsidRDefault="00A0661D" w:rsidP="00A0661D">
      <w:pPr>
        <w:pStyle w:val="ListParagraph"/>
        <w:numPr>
          <w:ilvl w:val="0"/>
          <w:numId w:val="37"/>
        </w:numPr>
        <w:spacing w:before="80" w:after="0" w:line="240" w:lineRule="auto"/>
        <w:ind w:left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Continuous improvement</w:t>
      </w:r>
    </w:p>
    <w:p w14:paraId="076AB0AC" w14:textId="4D0862B0" w:rsidR="00733D1E" w:rsidRPr="00351021" w:rsidRDefault="00733D1E" w:rsidP="0006204B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1021">
        <w:rPr>
          <w:rFonts w:asciiTheme="minorHAnsi" w:hAnsiTheme="minorHAnsi" w:cstheme="minorHAnsi"/>
          <w:b/>
          <w:sz w:val="24"/>
          <w:szCs w:val="24"/>
        </w:rPr>
        <w:t>Unbundling</w:t>
      </w:r>
    </w:p>
    <w:p w14:paraId="340DB0B3" w14:textId="77777777" w:rsidR="008F5FE7" w:rsidRPr="00380012" w:rsidRDefault="0006204B" w:rsidP="008F5FE7">
      <w:pPr>
        <w:pStyle w:val="NoSpacing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4C71">
        <w:rPr>
          <w:rFonts w:asciiTheme="minorHAnsi" w:eastAsia="Times New Roman" w:hAnsiTheme="minorHAnsi" w:cstheme="minorHAnsi"/>
          <w:sz w:val="22"/>
          <w:szCs w:val="22"/>
        </w:rPr>
        <w:t>Unbundling</w:t>
      </w:r>
      <w:r w:rsidRPr="00EA4C71">
        <w:rPr>
          <w:rFonts w:asciiTheme="minorHAnsi" w:hAnsiTheme="minorHAnsi" w:cstheme="minorHAnsi"/>
          <w:sz w:val="22"/>
          <w:szCs w:val="22"/>
        </w:rPr>
        <w:t xml:space="preserve"> entails the division of a larger contract into smaller ones.  Within larger contracts, there may be potential to have a portion segmented to promote competition for small businesses that meets a state procurement </w:t>
      </w:r>
      <w:r w:rsidRPr="00380012">
        <w:rPr>
          <w:rFonts w:asciiTheme="minorHAnsi" w:hAnsiTheme="minorHAnsi" w:cstheme="minorHAnsi"/>
          <w:sz w:val="22"/>
          <w:szCs w:val="22"/>
        </w:rPr>
        <w:t>goal.</w:t>
      </w:r>
    </w:p>
    <w:p w14:paraId="64AF4B5D" w14:textId="616E3F1F" w:rsidR="008F5FE7" w:rsidRPr="00380012" w:rsidRDefault="00F34B5E" w:rsidP="00EB43EF">
      <w:pPr>
        <w:pStyle w:val="NoSpacing"/>
        <w:numPr>
          <w:ilvl w:val="0"/>
          <w:numId w:val="35"/>
        </w:numPr>
        <w:tabs>
          <w:tab w:val="left" w:pos="2512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 to decide if unbundling is s</w:t>
      </w:r>
      <w:r w:rsidR="0006204B" w:rsidRPr="00380012">
        <w:rPr>
          <w:rFonts w:asciiTheme="minorHAnsi" w:hAnsiTheme="minorHAnsi" w:cstheme="minorHAnsi"/>
          <w:sz w:val="22"/>
          <w:szCs w:val="22"/>
        </w:rPr>
        <w:t>uitable</w:t>
      </w:r>
    </w:p>
    <w:p w14:paraId="42ED853E" w14:textId="73F14534" w:rsidR="0006204B" w:rsidRPr="00380012" w:rsidRDefault="008F5FE7" w:rsidP="00EB43EF">
      <w:pPr>
        <w:pStyle w:val="NoSpacing"/>
        <w:numPr>
          <w:ilvl w:val="1"/>
          <w:numId w:val="36"/>
        </w:numPr>
        <w:tabs>
          <w:tab w:val="left" w:pos="2512"/>
        </w:tabs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380012">
        <w:rPr>
          <w:rFonts w:asciiTheme="minorHAnsi" w:hAnsiTheme="minorHAnsi" w:cstheme="minorHAnsi"/>
          <w:sz w:val="22"/>
          <w:szCs w:val="22"/>
        </w:rPr>
        <w:t>When/how to use unbundling</w:t>
      </w:r>
    </w:p>
    <w:p w14:paraId="2655266B" w14:textId="18685C18" w:rsidR="0006204B" w:rsidRPr="00EB43EF" w:rsidRDefault="00380012" w:rsidP="00EB43EF">
      <w:pPr>
        <w:pStyle w:val="ListParagraph"/>
        <w:numPr>
          <w:ilvl w:val="1"/>
          <w:numId w:val="36"/>
        </w:numPr>
        <w:tabs>
          <w:tab w:val="left" w:pos="2512"/>
        </w:tabs>
        <w:ind w:left="1080"/>
        <w:rPr>
          <w:rFonts w:cstheme="minorHAnsi"/>
        </w:rPr>
      </w:pPr>
      <w:r w:rsidRPr="00EB43EF">
        <w:rPr>
          <w:rFonts w:cstheme="minorHAnsi"/>
        </w:rPr>
        <w:t>Market r</w:t>
      </w:r>
      <w:r w:rsidR="0006204B" w:rsidRPr="00EB43EF">
        <w:rPr>
          <w:rFonts w:cstheme="minorHAnsi"/>
        </w:rPr>
        <w:t xml:space="preserve">esearch </w:t>
      </w:r>
    </w:p>
    <w:p w14:paraId="7E970770" w14:textId="11A02923" w:rsidR="0006204B" w:rsidRPr="00EB43EF" w:rsidRDefault="00380012" w:rsidP="00EB43EF">
      <w:pPr>
        <w:pStyle w:val="ListParagraph"/>
        <w:numPr>
          <w:ilvl w:val="0"/>
          <w:numId w:val="35"/>
        </w:numPr>
        <w:tabs>
          <w:tab w:val="left" w:pos="2512"/>
        </w:tabs>
        <w:spacing w:before="120"/>
        <w:ind w:left="360"/>
        <w:jc w:val="both"/>
        <w:rPr>
          <w:rFonts w:cstheme="minorHAnsi"/>
        </w:rPr>
      </w:pPr>
      <w:r w:rsidRPr="00EB43EF">
        <w:rPr>
          <w:rFonts w:cstheme="minorHAnsi"/>
        </w:rPr>
        <w:t>B</w:t>
      </w:r>
      <w:r w:rsidR="0006204B" w:rsidRPr="00EB43EF">
        <w:rPr>
          <w:rFonts w:cstheme="minorHAnsi"/>
        </w:rPr>
        <w:t>usiness justification</w:t>
      </w:r>
      <w:r w:rsidRPr="00EB43EF">
        <w:rPr>
          <w:rFonts w:cstheme="minorHAnsi"/>
        </w:rPr>
        <w:t>/documentation</w:t>
      </w:r>
      <w:r w:rsidR="0006204B" w:rsidRPr="00EB43EF">
        <w:rPr>
          <w:rFonts w:cstheme="minorHAnsi"/>
        </w:rPr>
        <w:t xml:space="preserve"> </w:t>
      </w:r>
    </w:p>
    <w:p w14:paraId="65441F0B" w14:textId="4C205AA3" w:rsidR="005D53B6" w:rsidRPr="000C7F52" w:rsidRDefault="005D53B6" w:rsidP="005D53B6">
      <w:pPr>
        <w:pStyle w:val="NoSpacing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Contract Language</w:t>
      </w:r>
    </w:p>
    <w:p w14:paraId="5963F60C" w14:textId="3D3B2CA4" w:rsidR="004811B7" w:rsidRDefault="004811B7" w:rsidP="005D53B6">
      <w:pPr>
        <w:pStyle w:val="ListParagraph"/>
        <w:numPr>
          <w:ilvl w:val="0"/>
          <w:numId w:val="32"/>
        </w:numPr>
        <w:ind w:left="360"/>
      </w:pPr>
      <w:r>
        <w:t>Alignment with statutory and Executive Order (EO 13-01 and 19-01) requirements</w:t>
      </w:r>
    </w:p>
    <w:p w14:paraId="00CDB55A" w14:textId="720C3541" w:rsidR="005D53B6" w:rsidRPr="000C7F52" w:rsidRDefault="005D53B6" w:rsidP="005D53B6">
      <w:pPr>
        <w:pStyle w:val="ListParagraph"/>
        <w:numPr>
          <w:ilvl w:val="0"/>
          <w:numId w:val="32"/>
        </w:numPr>
        <w:ind w:left="360"/>
      </w:pPr>
      <w:r w:rsidRPr="000C7F52">
        <w:t>Align</w:t>
      </w:r>
      <w:r w:rsidR="00380012" w:rsidRPr="000C7F52">
        <w:t>ment</w:t>
      </w:r>
      <w:r w:rsidRPr="000C7F52">
        <w:t xml:space="preserve"> with Governor’s Goals on Equity in State Contracting</w:t>
      </w:r>
    </w:p>
    <w:p w14:paraId="4BD04429" w14:textId="15DAB136" w:rsidR="000C7F52" w:rsidRPr="000C7F52" w:rsidRDefault="000C7F52" w:rsidP="005D53B6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>Sample c</w:t>
      </w:r>
      <w:r w:rsidR="005D53B6" w:rsidRPr="000C7F52">
        <w:rPr>
          <w:rFonts w:eastAsia="Times New Roman" w:cstheme="minorHAnsi"/>
          <w:bCs/>
        </w:rPr>
        <w:t xml:space="preserve">ontract </w:t>
      </w:r>
      <w:r w:rsidRPr="000C7F52">
        <w:rPr>
          <w:rFonts w:eastAsia="Times New Roman" w:cstheme="minorHAnsi"/>
          <w:bCs/>
        </w:rPr>
        <w:t>language</w:t>
      </w:r>
    </w:p>
    <w:p w14:paraId="3B3FFBF5" w14:textId="71FA30C8" w:rsidR="000C7F52" w:rsidRPr="000C7F52" w:rsidRDefault="000C7F52" w:rsidP="000C7F52">
      <w:pPr>
        <w:pStyle w:val="ListParagraph"/>
        <w:numPr>
          <w:ilvl w:val="1"/>
          <w:numId w:val="38"/>
        </w:numPr>
        <w:spacing w:after="200" w:line="276" w:lineRule="auto"/>
        <w:ind w:left="72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>Use of inclusion plans</w:t>
      </w:r>
    </w:p>
    <w:p w14:paraId="01CD2E6D" w14:textId="1F19C8FB" w:rsidR="000C7F52" w:rsidRPr="000C7F52" w:rsidRDefault="000C7F52" w:rsidP="000C7F52">
      <w:pPr>
        <w:pStyle w:val="ListParagraph"/>
        <w:numPr>
          <w:ilvl w:val="1"/>
          <w:numId w:val="38"/>
        </w:numPr>
        <w:spacing w:after="200" w:line="276" w:lineRule="auto"/>
        <w:ind w:left="72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>Require the contractor and subcontractor(s) to register in WEBS</w:t>
      </w:r>
    </w:p>
    <w:p w14:paraId="49DB08A1" w14:textId="72E6DAD5" w:rsidR="000C7F52" w:rsidRPr="000C7F52" w:rsidRDefault="000C7F52" w:rsidP="000C7F52">
      <w:pPr>
        <w:pStyle w:val="ListParagraph"/>
        <w:numPr>
          <w:ilvl w:val="1"/>
          <w:numId w:val="38"/>
        </w:numPr>
        <w:spacing w:after="200" w:line="276" w:lineRule="auto"/>
        <w:ind w:left="720"/>
        <w:rPr>
          <w:rFonts w:eastAsia="Times New Roman" w:cstheme="minorHAnsi"/>
          <w:bCs/>
        </w:rPr>
      </w:pPr>
      <w:r w:rsidRPr="000C7F52">
        <w:t>Require the contractors to pay their subcontractors timely</w:t>
      </w:r>
    </w:p>
    <w:p w14:paraId="5679FC75" w14:textId="727C2163" w:rsidR="000C7F52" w:rsidRPr="000C7F52" w:rsidRDefault="000C7F52" w:rsidP="005D53B6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>Adjust terms and conditions to encourage greater participation of diverse firms (i.e. insurance requirements, etc.)</w:t>
      </w:r>
    </w:p>
    <w:p w14:paraId="7ACB1C99" w14:textId="494BE6B0" w:rsidR="000C7F52" w:rsidRPr="000C7F52" w:rsidRDefault="000C7F52" w:rsidP="005D53B6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>Contract management best practices</w:t>
      </w:r>
    </w:p>
    <w:p w14:paraId="4B3857B4" w14:textId="508B6E47" w:rsidR="005D53B6" w:rsidRPr="005D53B6" w:rsidRDefault="005D53B6" w:rsidP="000C7F52">
      <w:pPr>
        <w:pStyle w:val="ListParagraph"/>
        <w:numPr>
          <w:ilvl w:val="1"/>
          <w:numId w:val="33"/>
        </w:numPr>
        <w:spacing w:after="200" w:line="276" w:lineRule="auto"/>
        <w:ind w:left="720"/>
        <w:rPr>
          <w:rFonts w:eastAsia="Times New Roman" w:cstheme="minorHAnsi"/>
          <w:bCs/>
        </w:rPr>
      </w:pPr>
      <w:r w:rsidRPr="000C7F52">
        <w:rPr>
          <w:rFonts w:eastAsia="Times New Roman" w:cstheme="minorHAnsi"/>
          <w:bCs/>
        </w:rPr>
        <w:t xml:space="preserve">Ensure </w:t>
      </w:r>
      <w:r w:rsidR="000C7F52" w:rsidRPr="000C7F52">
        <w:rPr>
          <w:rFonts w:eastAsia="Times New Roman" w:cstheme="minorHAnsi"/>
          <w:bCs/>
        </w:rPr>
        <w:t>contractor</w:t>
      </w:r>
      <w:r w:rsidR="000C7F52">
        <w:rPr>
          <w:rFonts w:eastAsia="Times New Roman" w:cstheme="minorHAnsi"/>
          <w:bCs/>
        </w:rPr>
        <w:t xml:space="preserve"> performance (specific to </w:t>
      </w:r>
      <w:r w:rsidRPr="005D53B6">
        <w:rPr>
          <w:rFonts w:eastAsia="Times New Roman" w:cstheme="minorHAnsi"/>
          <w:bCs/>
        </w:rPr>
        <w:t xml:space="preserve">goals and </w:t>
      </w:r>
      <w:r w:rsidR="000C7F52">
        <w:rPr>
          <w:rFonts w:eastAsia="Times New Roman" w:cstheme="minorHAnsi"/>
          <w:bCs/>
        </w:rPr>
        <w:t>requirements</w:t>
      </w:r>
      <w:r w:rsidRPr="005D53B6">
        <w:rPr>
          <w:rFonts w:eastAsia="Times New Roman" w:cstheme="minorHAnsi"/>
          <w:bCs/>
        </w:rPr>
        <w:t xml:space="preserve"> related to cultural competency, in</w:t>
      </w:r>
      <w:r w:rsidR="000C7F52">
        <w:rPr>
          <w:rFonts w:eastAsia="Times New Roman" w:cstheme="minorHAnsi"/>
          <w:bCs/>
        </w:rPr>
        <w:t>clusion and anti-discrimination)</w:t>
      </w:r>
    </w:p>
    <w:p w14:paraId="71178D75" w14:textId="65374EE6" w:rsidR="005D53B6" w:rsidRPr="005D53B6" w:rsidRDefault="000C7F52" w:rsidP="000C7F52">
      <w:pPr>
        <w:pStyle w:val="ListParagraph"/>
        <w:numPr>
          <w:ilvl w:val="1"/>
          <w:numId w:val="33"/>
        </w:numPr>
        <w:spacing w:after="200" w:line="276" w:lineRule="auto"/>
        <w:ind w:left="720"/>
      </w:pPr>
      <w:r>
        <w:t>D</w:t>
      </w:r>
      <w:r w:rsidR="005D53B6" w:rsidRPr="005D53B6">
        <w:t>iverse business reporting requirement</w:t>
      </w:r>
      <w:r>
        <w:t>s, including subcontractor data</w:t>
      </w:r>
    </w:p>
    <w:p w14:paraId="594F5B8F" w14:textId="27AD32E9" w:rsidR="00733D1E" w:rsidRPr="00351021" w:rsidRDefault="00733D1E" w:rsidP="00EA4C71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1021">
        <w:rPr>
          <w:rFonts w:asciiTheme="minorHAnsi" w:hAnsiTheme="minorHAnsi" w:cstheme="minorHAnsi"/>
          <w:b/>
          <w:sz w:val="24"/>
          <w:szCs w:val="24"/>
        </w:rPr>
        <w:t>Inclusion Plans</w:t>
      </w:r>
    </w:p>
    <w:p w14:paraId="5E0B13BB" w14:textId="2911AFB7" w:rsidR="008F5FE7" w:rsidRPr="00AE4C3E" w:rsidRDefault="008F5FE7" w:rsidP="00AE4C3E">
      <w:pPr>
        <w:spacing w:before="80" w:line="240" w:lineRule="auto"/>
        <w:rPr>
          <w:rFonts w:eastAsia="Times New Roman" w:cstheme="minorHAnsi"/>
        </w:rPr>
      </w:pPr>
      <w:r w:rsidRPr="00AE4C3E">
        <w:rPr>
          <w:rFonts w:eastAsia="Times New Roman" w:cstheme="minorHAnsi"/>
        </w:rPr>
        <w:t>An inclusion plan outlines a commitment the vendor makes towards including small, diverse and veteran</w:t>
      </w:r>
      <w:r w:rsidR="00727A6F">
        <w:rPr>
          <w:rFonts w:eastAsia="Times New Roman" w:cstheme="minorHAnsi"/>
        </w:rPr>
        <w:t>-</w:t>
      </w:r>
      <w:r w:rsidRPr="00AE4C3E">
        <w:rPr>
          <w:rFonts w:eastAsia="Times New Roman" w:cstheme="minorHAnsi"/>
        </w:rPr>
        <w:t xml:space="preserve">owned businesses for ancillary services that the vendor does not directly perform.  </w:t>
      </w:r>
    </w:p>
    <w:p w14:paraId="1FB80A88" w14:textId="411FFA99" w:rsidR="009141B6" w:rsidRDefault="009141B6" w:rsidP="009141B6">
      <w:pPr>
        <w:pStyle w:val="ListParagraph"/>
        <w:numPr>
          <w:ilvl w:val="0"/>
          <w:numId w:val="39"/>
        </w:numPr>
        <w:spacing w:before="80" w:after="0" w:line="240" w:lineRule="auto"/>
        <w:ind w:left="360"/>
        <w:rPr>
          <w:rFonts w:eastAsia="Times New Roman" w:cstheme="minorHAnsi"/>
        </w:rPr>
      </w:pPr>
      <w:r w:rsidRPr="009141B6">
        <w:rPr>
          <w:rFonts w:eastAsia="Times New Roman" w:cstheme="minorHAnsi"/>
        </w:rPr>
        <w:t>Inclusion Plan template</w:t>
      </w:r>
    </w:p>
    <w:p w14:paraId="02DD96F4" w14:textId="5D5D1026" w:rsidR="00AE4C3E" w:rsidRDefault="00AE4C3E" w:rsidP="00AE4C3E">
      <w:pPr>
        <w:pStyle w:val="ListParagraph"/>
        <w:numPr>
          <w:ilvl w:val="1"/>
          <w:numId w:val="43"/>
        </w:numPr>
        <w:spacing w:before="80"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Requirements</w:t>
      </w:r>
    </w:p>
    <w:p w14:paraId="564159D8" w14:textId="1A6DE1A1" w:rsidR="00AE4C3E" w:rsidRPr="009141B6" w:rsidRDefault="00AE4C3E" w:rsidP="00AE4C3E">
      <w:pPr>
        <w:pStyle w:val="ListParagraph"/>
        <w:numPr>
          <w:ilvl w:val="1"/>
          <w:numId w:val="43"/>
        </w:numPr>
        <w:spacing w:before="80"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Responsiveness</w:t>
      </w:r>
    </w:p>
    <w:p w14:paraId="18C65563" w14:textId="7EE7D91B" w:rsidR="009141B6" w:rsidRPr="009141B6" w:rsidRDefault="009141B6" w:rsidP="009141B6">
      <w:pPr>
        <w:pStyle w:val="ListParagraph"/>
        <w:numPr>
          <w:ilvl w:val="0"/>
          <w:numId w:val="39"/>
        </w:numPr>
        <w:spacing w:before="80" w:after="0" w:line="240" w:lineRule="auto"/>
        <w:ind w:left="360"/>
        <w:rPr>
          <w:rFonts w:eastAsia="Times New Roman" w:cstheme="minorHAnsi"/>
        </w:rPr>
      </w:pPr>
      <w:r w:rsidRPr="009141B6">
        <w:rPr>
          <w:rFonts w:eastAsia="Times New Roman" w:cstheme="minorHAnsi"/>
        </w:rPr>
        <w:t>Target planned procurements with potential for inclusion plan</w:t>
      </w:r>
    </w:p>
    <w:p w14:paraId="3421218E" w14:textId="627A55F1" w:rsidR="009141B6" w:rsidRDefault="009141B6" w:rsidP="009141B6">
      <w:pPr>
        <w:pStyle w:val="ListParagraph"/>
        <w:numPr>
          <w:ilvl w:val="0"/>
          <w:numId w:val="39"/>
        </w:numPr>
        <w:spacing w:before="80" w:after="0" w:line="240" w:lineRule="auto"/>
        <w:ind w:left="360"/>
        <w:rPr>
          <w:rFonts w:eastAsia="Times New Roman" w:cstheme="minorHAnsi"/>
        </w:rPr>
      </w:pPr>
      <w:r w:rsidRPr="009141B6">
        <w:rPr>
          <w:rFonts w:eastAsia="Times New Roman" w:cstheme="minorHAnsi"/>
        </w:rPr>
        <w:lastRenderedPageBreak/>
        <w:t>Engage industry</w:t>
      </w:r>
    </w:p>
    <w:p w14:paraId="0A3FE19C" w14:textId="745B0AA3" w:rsidR="008C3EC6" w:rsidRPr="009141B6" w:rsidRDefault="008C3EC6" w:rsidP="008C3EC6">
      <w:pPr>
        <w:pStyle w:val="ListParagraph"/>
        <w:numPr>
          <w:ilvl w:val="1"/>
          <w:numId w:val="39"/>
        </w:numPr>
        <w:spacing w:before="80"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Clarity on what can be subcontracted</w:t>
      </w:r>
    </w:p>
    <w:p w14:paraId="484CABD7" w14:textId="3AF2F0D0" w:rsidR="009141B6" w:rsidRPr="009141B6" w:rsidRDefault="009141B6" w:rsidP="009141B6">
      <w:pPr>
        <w:pStyle w:val="ListParagraph"/>
        <w:numPr>
          <w:ilvl w:val="0"/>
          <w:numId w:val="39"/>
        </w:numPr>
        <w:spacing w:before="80" w:after="0" w:line="240" w:lineRule="auto"/>
        <w:ind w:left="360"/>
        <w:rPr>
          <w:rFonts w:eastAsia="Times New Roman" w:cstheme="minorHAnsi"/>
        </w:rPr>
      </w:pPr>
      <w:r w:rsidRPr="009141B6">
        <w:rPr>
          <w:rFonts w:eastAsia="Times New Roman" w:cstheme="minorHAnsi"/>
        </w:rPr>
        <w:t>Implementation</w:t>
      </w:r>
    </w:p>
    <w:p w14:paraId="7842D90A" w14:textId="552B435C" w:rsidR="00FD7DA8" w:rsidRPr="009141B6" w:rsidRDefault="009141B6" w:rsidP="009141B6">
      <w:pPr>
        <w:pStyle w:val="ListParagraph"/>
        <w:numPr>
          <w:ilvl w:val="0"/>
          <w:numId w:val="39"/>
        </w:numPr>
        <w:spacing w:before="80" w:after="0" w:line="240" w:lineRule="auto"/>
        <w:ind w:left="360"/>
        <w:rPr>
          <w:rFonts w:cstheme="minorHAnsi"/>
        </w:rPr>
      </w:pPr>
      <w:r w:rsidRPr="009141B6">
        <w:rPr>
          <w:rFonts w:eastAsia="Times New Roman" w:cstheme="minorHAnsi"/>
        </w:rPr>
        <w:t>M</w:t>
      </w:r>
      <w:r w:rsidR="00B81A14" w:rsidRPr="009141B6">
        <w:rPr>
          <w:rFonts w:eastAsia="Times New Roman" w:cstheme="minorHAnsi"/>
        </w:rPr>
        <w:t>onitoring</w:t>
      </w:r>
      <w:r w:rsidRPr="009141B6">
        <w:rPr>
          <w:rFonts w:eastAsia="Times New Roman" w:cstheme="minorHAnsi"/>
        </w:rPr>
        <w:t xml:space="preserve"> inclusion plan</w:t>
      </w:r>
    </w:p>
    <w:p w14:paraId="32079B11" w14:textId="378D5968" w:rsidR="00733D1E" w:rsidRPr="00351021" w:rsidRDefault="00733D1E" w:rsidP="00FD7DA8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1021">
        <w:rPr>
          <w:rFonts w:asciiTheme="minorHAnsi" w:hAnsiTheme="minorHAnsi" w:cstheme="minorHAnsi"/>
          <w:b/>
          <w:sz w:val="24"/>
          <w:szCs w:val="24"/>
        </w:rPr>
        <w:t>Purchase Cards</w:t>
      </w:r>
    </w:p>
    <w:p w14:paraId="5CADFA91" w14:textId="02681F1D" w:rsidR="00FD7DA8" w:rsidRPr="00FD7DA8" w:rsidRDefault="009141B6" w:rsidP="009141B6">
      <w:pPr>
        <w:pStyle w:val="ListParagraph"/>
        <w:numPr>
          <w:ilvl w:val="0"/>
          <w:numId w:val="40"/>
        </w:numPr>
        <w:ind w:left="360"/>
        <w:rPr>
          <w:rFonts w:cstheme="minorHAnsi"/>
        </w:rPr>
      </w:pPr>
      <w:r>
        <w:rPr>
          <w:rFonts w:cstheme="minorHAnsi"/>
        </w:rPr>
        <w:t>How purchase cards should be used to encourage the intent of this policy</w:t>
      </w:r>
    </w:p>
    <w:p w14:paraId="5D98E4A4" w14:textId="138CDA7D" w:rsidR="00733D1E" w:rsidRPr="0006627A" w:rsidRDefault="00733D1E" w:rsidP="006754AC">
      <w:pPr>
        <w:pStyle w:val="NoSpacing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141B6">
        <w:rPr>
          <w:rFonts w:asciiTheme="minorHAnsi" w:hAnsiTheme="minorHAnsi" w:cstheme="minorHAnsi"/>
          <w:b/>
          <w:sz w:val="24"/>
          <w:szCs w:val="24"/>
        </w:rPr>
        <w:t>Transparency</w:t>
      </w:r>
    </w:p>
    <w:p w14:paraId="1DA6A2E9" w14:textId="5F9DE325" w:rsidR="0006627A" w:rsidRDefault="0006627A" w:rsidP="0006627A">
      <w:pPr>
        <w:pStyle w:val="NoSpacing"/>
        <w:numPr>
          <w:ilvl w:val="0"/>
          <w:numId w:val="44"/>
        </w:numPr>
        <w:tabs>
          <w:tab w:val="left" w:pos="3960"/>
        </w:tabs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627A">
        <w:rPr>
          <w:rFonts w:asciiTheme="minorHAnsi" w:hAnsiTheme="minorHAnsi" w:cstheme="minorHAnsi"/>
          <w:sz w:val="24"/>
          <w:szCs w:val="24"/>
        </w:rPr>
        <w:t>Transparency requirements</w:t>
      </w:r>
    </w:p>
    <w:p w14:paraId="11274D8E" w14:textId="322CB74E" w:rsidR="009141B6" w:rsidRDefault="009141B6" w:rsidP="009141B6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1B6">
        <w:rPr>
          <w:rFonts w:asciiTheme="minorHAnsi" w:hAnsiTheme="minorHAnsi" w:cstheme="minorHAnsi"/>
          <w:b/>
          <w:sz w:val="24"/>
          <w:szCs w:val="24"/>
        </w:rPr>
        <w:t xml:space="preserve">Training:  </w:t>
      </w:r>
      <w:r w:rsidR="00F63112" w:rsidRPr="009141B6">
        <w:rPr>
          <w:rFonts w:asciiTheme="minorHAnsi" w:hAnsiTheme="minorHAnsi" w:cstheme="minorHAnsi"/>
          <w:b/>
          <w:sz w:val="24"/>
          <w:szCs w:val="24"/>
        </w:rPr>
        <w:t xml:space="preserve">Agencies will be required to </w:t>
      </w:r>
      <w:r w:rsidR="006838A1">
        <w:rPr>
          <w:rFonts w:asciiTheme="minorHAnsi" w:hAnsiTheme="minorHAnsi" w:cstheme="minorHAnsi"/>
          <w:b/>
          <w:sz w:val="24"/>
          <w:szCs w:val="24"/>
        </w:rPr>
        <w:t>complete</w:t>
      </w:r>
      <w:r>
        <w:rPr>
          <w:rFonts w:asciiTheme="minorHAnsi" w:hAnsiTheme="minorHAnsi" w:cstheme="minorHAnsi"/>
          <w:b/>
          <w:sz w:val="24"/>
          <w:szCs w:val="24"/>
        </w:rPr>
        <w:t xml:space="preserve"> training</w:t>
      </w:r>
    </w:p>
    <w:p w14:paraId="329D76EA" w14:textId="77777777" w:rsidR="00354D4B" w:rsidRDefault="00354D4B" w:rsidP="00354D4B">
      <w:pPr>
        <w:pStyle w:val="NoSpacing"/>
        <w:numPr>
          <w:ilvl w:val="0"/>
          <w:numId w:val="41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program</w:t>
      </w:r>
    </w:p>
    <w:p w14:paraId="65C3C2E2" w14:textId="77777777" w:rsidR="00354D4B" w:rsidRDefault="00354D4B" w:rsidP="00354D4B">
      <w:pPr>
        <w:pStyle w:val="NoSpacing"/>
        <w:numPr>
          <w:ilvl w:val="0"/>
          <w:numId w:val="41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affected</w:t>
      </w:r>
    </w:p>
    <w:p w14:paraId="5FF0AA09" w14:textId="77777777" w:rsidR="00354D4B" w:rsidRDefault="00354D4B" w:rsidP="00354D4B">
      <w:pPr>
        <w:pStyle w:val="NoSpacing"/>
        <w:numPr>
          <w:ilvl w:val="0"/>
          <w:numId w:val="41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Timeline</w:t>
      </w:r>
    </w:p>
    <w:p w14:paraId="0BB11833" w14:textId="34508F9F" w:rsidR="00F63112" w:rsidRPr="00354D4B" w:rsidRDefault="009141B6" w:rsidP="00354D4B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4D4B">
        <w:rPr>
          <w:rFonts w:asciiTheme="minorHAnsi" w:hAnsiTheme="minorHAnsi" w:cstheme="minorHAnsi"/>
          <w:b/>
          <w:sz w:val="24"/>
          <w:szCs w:val="24"/>
        </w:rPr>
        <w:t xml:space="preserve">Compliance:  </w:t>
      </w:r>
      <w:r w:rsidR="00F63112" w:rsidRPr="00354D4B">
        <w:rPr>
          <w:rFonts w:asciiTheme="minorHAnsi" w:hAnsiTheme="minorHAnsi" w:cstheme="minorHAnsi"/>
          <w:b/>
          <w:sz w:val="24"/>
          <w:szCs w:val="24"/>
        </w:rPr>
        <w:t>Agencies will document compliance with this Po</w:t>
      </w:r>
      <w:r w:rsidR="00354D4B">
        <w:rPr>
          <w:rFonts w:asciiTheme="minorHAnsi" w:hAnsiTheme="minorHAnsi" w:cstheme="minorHAnsi"/>
          <w:b/>
          <w:sz w:val="24"/>
          <w:szCs w:val="24"/>
        </w:rPr>
        <w:t>licy</w:t>
      </w:r>
    </w:p>
    <w:p w14:paraId="595E36F9" w14:textId="3B722C93" w:rsidR="001A1793" w:rsidRDefault="001A1793" w:rsidP="00CA7344">
      <w:pPr>
        <w:pStyle w:val="NoSpacing"/>
        <w:numPr>
          <w:ilvl w:val="0"/>
          <w:numId w:val="4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 progress</w:t>
      </w:r>
    </w:p>
    <w:p w14:paraId="2624DE98" w14:textId="1A7684C5" w:rsidR="00CA7344" w:rsidRDefault="00CA7344" w:rsidP="00CA7344">
      <w:pPr>
        <w:pStyle w:val="NoSpacing"/>
        <w:numPr>
          <w:ilvl w:val="1"/>
          <w:numId w:val="42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of WEBS</w:t>
      </w:r>
    </w:p>
    <w:p w14:paraId="4AF72B87" w14:textId="54170085" w:rsidR="00F63112" w:rsidRPr="00836A1D" w:rsidRDefault="00CA7344" w:rsidP="00CA7344">
      <w:pPr>
        <w:pStyle w:val="NoSpacing"/>
        <w:numPr>
          <w:ilvl w:val="0"/>
          <w:numId w:val="4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Justification/documentation </w:t>
      </w:r>
    </w:p>
    <w:p w14:paraId="5CFAB0D5" w14:textId="41AFD2C2" w:rsidR="003A6119" w:rsidRPr="003A6119" w:rsidRDefault="003A6119" w:rsidP="003A6119">
      <w:pPr>
        <w:pStyle w:val="NoSpacing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Conditions</w:t>
      </w:r>
    </w:p>
    <w:p w14:paraId="5291658A" w14:textId="2B8BD63D" w:rsidR="006754AC" w:rsidRPr="003A6119" w:rsidRDefault="003A6119" w:rsidP="003A6119">
      <w:pPr>
        <w:pStyle w:val="NoSpacing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A6119">
        <w:rPr>
          <w:rFonts w:asciiTheme="minorHAnsi" w:hAnsiTheme="minorHAnsi" w:cstheme="minorHAnsi"/>
          <w:sz w:val="24"/>
          <w:szCs w:val="24"/>
        </w:rPr>
        <w:t>Exceptions</w:t>
      </w:r>
    </w:p>
    <w:p w14:paraId="2EA6BBDA" w14:textId="0191B2F1" w:rsidR="003A6119" w:rsidRPr="003A6119" w:rsidRDefault="003A6119" w:rsidP="003A6119">
      <w:pPr>
        <w:pStyle w:val="NoSpacing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6119">
        <w:rPr>
          <w:rFonts w:asciiTheme="minorHAnsi" w:hAnsiTheme="minorHAnsi" w:cstheme="minorHAnsi"/>
          <w:sz w:val="24"/>
          <w:szCs w:val="24"/>
        </w:rPr>
        <w:t xml:space="preserve">Master </w:t>
      </w:r>
      <w:r>
        <w:rPr>
          <w:rFonts w:asciiTheme="minorHAnsi" w:hAnsiTheme="minorHAnsi" w:cstheme="minorHAnsi"/>
          <w:sz w:val="24"/>
          <w:szCs w:val="24"/>
        </w:rPr>
        <w:t>contract requirements</w:t>
      </w:r>
    </w:p>
    <w:p w14:paraId="4D8A6C0A" w14:textId="77777777" w:rsidR="003A6119" w:rsidRPr="00351021" w:rsidRDefault="003A6119" w:rsidP="003A6119">
      <w:pPr>
        <w:pStyle w:val="NoSpacing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A63AA4" w14:textId="6814CCD4" w:rsidR="00445057" w:rsidRPr="005231E9" w:rsidRDefault="00445057" w:rsidP="009A7808">
      <w:pPr>
        <w:pStyle w:val="NoSpacing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0E2CF41" w14:textId="2D537773" w:rsidR="00DC51EC" w:rsidRPr="005231E9" w:rsidRDefault="00DC45C4" w:rsidP="001526BD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Procedure</w:t>
      </w:r>
    </w:p>
    <w:p w14:paraId="0AB22FDC" w14:textId="0F348938" w:rsidR="00DC51EC" w:rsidRPr="005231E9" w:rsidRDefault="00DC51EC" w:rsidP="001526BD">
      <w:pPr>
        <w:pStyle w:val="NoSpacing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231E9">
        <w:rPr>
          <w:rFonts w:asciiTheme="minorHAnsi" w:hAnsiTheme="minorHAnsi" w:cstheme="minorHAnsi"/>
          <w:b/>
          <w:sz w:val="22"/>
          <w:szCs w:val="22"/>
        </w:rPr>
        <w:t>Procedure:</w:t>
      </w:r>
      <w:r w:rsidRPr="005231E9">
        <w:rPr>
          <w:rFonts w:asciiTheme="minorHAnsi" w:hAnsiTheme="minorHAnsi" w:cstheme="minorHAnsi"/>
          <w:sz w:val="22"/>
          <w:szCs w:val="22"/>
          <w:lang w:eastAsia="zh-TW"/>
        </w:rPr>
        <w:t xml:space="preserve">  Enterprise Services Procedure #PRO-DES-090-06</w:t>
      </w:r>
      <w:r w:rsidR="001526BD" w:rsidRPr="005231E9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4811B7">
        <w:rPr>
          <w:rFonts w:asciiTheme="minorHAnsi" w:hAnsiTheme="minorHAnsi" w:cstheme="minorHAnsi"/>
          <w:sz w:val="22"/>
          <w:szCs w:val="22"/>
          <w:highlight w:val="yellow"/>
          <w:lang w:eastAsia="zh-TW"/>
        </w:rPr>
        <w:t>[To be developed based on feedback received on policy]</w:t>
      </w:r>
    </w:p>
    <w:p w14:paraId="65E96D76" w14:textId="7910CACF" w:rsidR="00DC45C4" w:rsidRPr="005231E9" w:rsidRDefault="00DC45C4" w:rsidP="00DC45C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Guideline</w:t>
      </w:r>
    </w:p>
    <w:p w14:paraId="00149342" w14:textId="2EE3A706" w:rsidR="00DC45C4" w:rsidRPr="005231E9" w:rsidRDefault="00DC45C4" w:rsidP="00DC45C4">
      <w:pPr>
        <w:spacing w:after="0" w:line="240" w:lineRule="auto"/>
        <w:rPr>
          <w:rFonts w:cstheme="minorHAnsi"/>
          <w:lang w:eastAsia="zh-TW" w:bidi="en-US"/>
        </w:rPr>
      </w:pPr>
      <w:r w:rsidRPr="005231E9">
        <w:rPr>
          <w:rFonts w:cstheme="minorHAnsi"/>
          <w:b/>
        </w:rPr>
        <w:t>Guideline:</w:t>
      </w:r>
      <w:r w:rsidRPr="005231E9">
        <w:rPr>
          <w:rFonts w:cstheme="minorHAnsi"/>
          <w:lang w:eastAsia="zh-TW" w:bidi="en-US"/>
        </w:rPr>
        <w:t xml:space="preserve">  Enterprise Services #GDL-DES-090-06</w:t>
      </w:r>
      <w:r w:rsidR="001526BD" w:rsidRPr="005231E9">
        <w:rPr>
          <w:rFonts w:cstheme="minorHAnsi"/>
          <w:lang w:eastAsia="zh-TW" w:bidi="en-US"/>
        </w:rPr>
        <w:t xml:space="preserve"> </w:t>
      </w:r>
      <w:r w:rsidR="004811B7">
        <w:rPr>
          <w:rFonts w:cstheme="minorHAnsi"/>
          <w:highlight w:val="yellow"/>
          <w:lang w:eastAsia="zh-TW"/>
        </w:rPr>
        <w:t>[To be developed based on feedback received on policy]</w:t>
      </w:r>
    </w:p>
    <w:p w14:paraId="2C037959" w14:textId="77777777" w:rsidR="00DC45C4" w:rsidRPr="005231E9" w:rsidRDefault="00DC45C4" w:rsidP="00DC45C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Frequently Asked Questions</w:t>
      </w:r>
    </w:p>
    <w:p w14:paraId="1C53112B" w14:textId="73426B42" w:rsidR="00DC45C4" w:rsidRPr="005231E9" w:rsidRDefault="00DC45C4" w:rsidP="00DC45C4">
      <w:pPr>
        <w:spacing w:after="0" w:line="240" w:lineRule="auto"/>
        <w:rPr>
          <w:rFonts w:cstheme="minorHAnsi"/>
          <w:lang w:eastAsia="zh-TW" w:bidi="en-US"/>
        </w:rPr>
      </w:pPr>
      <w:r w:rsidRPr="005231E9">
        <w:rPr>
          <w:rFonts w:cstheme="minorHAnsi"/>
          <w:b/>
        </w:rPr>
        <w:t>FAQ:</w:t>
      </w:r>
      <w:r w:rsidRPr="005231E9">
        <w:rPr>
          <w:rFonts w:cstheme="minorHAnsi"/>
        </w:rPr>
        <w:t xml:space="preserve">  </w:t>
      </w:r>
      <w:r w:rsidR="001526BD" w:rsidRPr="005231E9">
        <w:rPr>
          <w:rFonts w:cstheme="minorHAnsi"/>
          <w:lang w:eastAsia="zh-TW" w:bidi="en-US"/>
        </w:rPr>
        <w:t>Enterprise Services FAQ</w:t>
      </w:r>
      <w:r w:rsidRPr="005231E9">
        <w:rPr>
          <w:rFonts w:cstheme="minorHAnsi"/>
          <w:lang w:eastAsia="zh-TW" w:bidi="en-US"/>
        </w:rPr>
        <w:t xml:space="preserve"> </w:t>
      </w:r>
      <w:r w:rsidR="004811B7">
        <w:rPr>
          <w:rFonts w:cstheme="minorHAnsi"/>
          <w:highlight w:val="yellow"/>
          <w:lang w:eastAsia="zh-TW"/>
        </w:rPr>
        <w:t>[To be developed based on feedback received on policy]</w:t>
      </w:r>
    </w:p>
    <w:p w14:paraId="3DD24179" w14:textId="77777777" w:rsidR="001526BD" w:rsidRPr="005231E9" w:rsidRDefault="001526BD" w:rsidP="001526B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Appendices</w:t>
      </w:r>
    </w:p>
    <w:p w14:paraId="13018EDC" w14:textId="30EF40AC" w:rsidR="001526BD" w:rsidRPr="005231E9" w:rsidRDefault="00174F6E" w:rsidP="001526BD">
      <w:pPr>
        <w:spacing w:after="0" w:line="240" w:lineRule="auto"/>
        <w:rPr>
          <w:rFonts w:cstheme="minorHAnsi"/>
          <w:lang w:eastAsia="zh-TW" w:bidi="en-US"/>
        </w:rPr>
      </w:pPr>
      <w:hyperlink r:id="rId23" w:history="1">
        <w:r w:rsidR="001526BD" w:rsidRPr="005231E9">
          <w:rPr>
            <w:rStyle w:val="Hyperlink"/>
            <w:rFonts w:cstheme="minorHAnsi"/>
          </w:rPr>
          <w:t>Sample Contract Language</w:t>
        </w:r>
      </w:hyperlink>
      <w:r w:rsidR="001526BD" w:rsidRPr="005231E9">
        <w:rPr>
          <w:rStyle w:val="Hyperlink"/>
          <w:rFonts w:cstheme="minorHAnsi"/>
        </w:rPr>
        <w:t xml:space="preserve"> </w:t>
      </w:r>
      <w:r w:rsidR="004811B7">
        <w:rPr>
          <w:rFonts w:cstheme="minorHAnsi"/>
          <w:highlight w:val="yellow"/>
          <w:lang w:eastAsia="zh-TW"/>
        </w:rPr>
        <w:t>[To be developed based on feedback received on policy]</w:t>
      </w:r>
    </w:p>
    <w:p w14:paraId="6CF01398" w14:textId="58684486" w:rsidR="002D4956" w:rsidRPr="005231E9" w:rsidRDefault="00AE7A2A" w:rsidP="003E231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H</w:t>
      </w:r>
      <w:r w:rsidR="002D4956" w:rsidRPr="005231E9">
        <w:rPr>
          <w:rFonts w:asciiTheme="minorHAnsi" w:hAnsiTheme="minorHAnsi" w:cstheme="minorHAnsi"/>
          <w:sz w:val="22"/>
          <w:szCs w:val="22"/>
        </w:rPr>
        <w:t>istory</w:t>
      </w:r>
    </w:p>
    <w:p w14:paraId="512C9BEA" w14:textId="77777777" w:rsidR="00A44C37" w:rsidRPr="005231E9" w:rsidRDefault="00A44C37" w:rsidP="003E2315">
      <w:pPr>
        <w:pStyle w:val="Heading2"/>
        <w:ind w:left="360"/>
        <w:rPr>
          <w:rFonts w:asciiTheme="minorHAnsi" w:hAnsiTheme="minorHAnsi" w:cstheme="minorHAnsi"/>
          <w:sz w:val="22"/>
          <w:szCs w:val="22"/>
        </w:rPr>
      </w:pPr>
      <w:r w:rsidRPr="005231E9">
        <w:rPr>
          <w:rFonts w:asciiTheme="minorHAnsi" w:hAnsiTheme="minorHAnsi" w:cstheme="minorHAnsi"/>
          <w:sz w:val="22"/>
          <w:szCs w:val="22"/>
        </w:rPr>
        <w:t>Adopted</w:t>
      </w:r>
    </w:p>
    <w:p w14:paraId="376636DA" w14:textId="6514D2BE" w:rsidR="00A44C37" w:rsidRPr="005231E9" w:rsidRDefault="00EE3BA9" w:rsidP="003E2315">
      <w:pPr>
        <w:spacing w:line="240" w:lineRule="auto"/>
        <w:ind w:firstLine="360"/>
        <w:rPr>
          <w:rFonts w:cstheme="minorHAnsi"/>
          <w:lang w:bidi="en-US"/>
        </w:rPr>
      </w:pPr>
      <w:r w:rsidRPr="005231E9">
        <w:rPr>
          <w:rFonts w:cstheme="minorHAnsi"/>
          <w:lang w:bidi="en-US"/>
        </w:rPr>
        <w:t>____________</w:t>
      </w:r>
      <w:r w:rsidR="00F640B1" w:rsidRPr="005231E9">
        <w:rPr>
          <w:rFonts w:cstheme="minorHAnsi"/>
          <w:lang w:bidi="en-US"/>
        </w:rPr>
        <w:t>, 2020</w:t>
      </w:r>
    </w:p>
    <w:p w14:paraId="675310AD" w14:textId="77777777" w:rsidR="002D4956" w:rsidRPr="002D4956" w:rsidRDefault="00AE7A2A" w:rsidP="003E2315">
      <w:pPr>
        <w:pStyle w:val="Heading2"/>
        <w:ind w:left="360"/>
      </w:pPr>
      <w:r>
        <w:lastRenderedPageBreak/>
        <w:t>Replaces</w:t>
      </w:r>
    </w:p>
    <w:p w14:paraId="78B3A1A0" w14:textId="5B1F616A" w:rsidR="002D4956" w:rsidRDefault="00EE3BA9" w:rsidP="002D4956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N/A</w:t>
      </w:r>
    </w:p>
    <w:sectPr w:rsidR="002D4956" w:rsidSect="00295C76">
      <w:headerReference w:type="default" r:id="rId24"/>
      <w:headerReference w:type="first" r:id="rId2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A6D9" w14:textId="77777777" w:rsidR="00174F6E" w:rsidRDefault="00174F6E" w:rsidP="005A2388">
      <w:pPr>
        <w:spacing w:after="0" w:line="240" w:lineRule="auto"/>
      </w:pPr>
      <w:r>
        <w:separator/>
      </w:r>
    </w:p>
  </w:endnote>
  <w:endnote w:type="continuationSeparator" w:id="0">
    <w:p w14:paraId="7EC37DDA" w14:textId="77777777" w:rsidR="00174F6E" w:rsidRDefault="00174F6E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B9D9" w14:textId="77777777" w:rsidR="00174F6E" w:rsidRDefault="00174F6E" w:rsidP="005A2388">
      <w:pPr>
        <w:spacing w:after="0" w:line="240" w:lineRule="auto"/>
      </w:pPr>
      <w:r>
        <w:separator/>
      </w:r>
    </w:p>
  </w:footnote>
  <w:footnote w:type="continuationSeparator" w:id="0">
    <w:p w14:paraId="1F1507A4" w14:textId="77777777" w:rsidR="00174F6E" w:rsidRDefault="00174F6E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88614"/>
      <w:docPartObj>
        <w:docPartGallery w:val="Watermarks"/>
        <w:docPartUnique/>
      </w:docPartObj>
    </w:sdtPr>
    <w:sdtEndPr/>
    <w:sdtContent>
      <w:p w14:paraId="3B263364" w14:textId="499BF655" w:rsidR="00473833" w:rsidRDefault="00174F6E">
        <w:pPr>
          <w:pStyle w:val="Header"/>
        </w:pPr>
        <w:r>
          <w:rPr>
            <w:noProof/>
          </w:rPr>
          <w:pict w14:anchorId="037E5E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E6CE" w14:textId="4740054F" w:rsidR="00295C76" w:rsidRDefault="00295C76">
    <w:pPr>
      <w:pStyle w:val="Header"/>
    </w:pPr>
    <w:r w:rsidRPr="00D0246A">
      <w:rPr>
        <w:rFonts w:cstheme="minorHAnsi"/>
        <w:noProof/>
      </w:rPr>
      <w:drawing>
        <wp:inline distT="0" distB="0" distL="0" distR="0" wp14:anchorId="2AEA6EAD" wp14:editId="7EA49D5D">
          <wp:extent cx="2162695" cy="365760"/>
          <wp:effectExtent l="0" t="0" r="9525" b="0"/>
          <wp:docPr id="1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BC186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44A48"/>
    <w:multiLevelType w:val="hybridMultilevel"/>
    <w:tmpl w:val="BE9E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B10"/>
    <w:multiLevelType w:val="hybridMultilevel"/>
    <w:tmpl w:val="DB32AB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E7DE4"/>
    <w:multiLevelType w:val="hybridMultilevel"/>
    <w:tmpl w:val="B1FEF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A2573"/>
    <w:multiLevelType w:val="hybridMultilevel"/>
    <w:tmpl w:val="D9DA19B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2577C"/>
    <w:multiLevelType w:val="hybridMultilevel"/>
    <w:tmpl w:val="CA3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1F3F"/>
    <w:multiLevelType w:val="hybridMultilevel"/>
    <w:tmpl w:val="B2DAE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FAA"/>
    <w:multiLevelType w:val="hybridMultilevel"/>
    <w:tmpl w:val="CA3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E762A"/>
    <w:multiLevelType w:val="hybridMultilevel"/>
    <w:tmpl w:val="DFC8865A"/>
    <w:lvl w:ilvl="0" w:tplc="9CC6DF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16432"/>
    <w:multiLevelType w:val="hybridMultilevel"/>
    <w:tmpl w:val="442A75DC"/>
    <w:lvl w:ilvl="0" w:tplc="78024C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C16C9"/>
    <w:multiLevelType w:val="hybridMultilevel"/>
    <w:tmpl w:val="BEF660F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656BE"/>
    <w:multiLevelType w:val="hybridMultilevel"/>
    <w:tmpl w:val="E0AEFD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72098"/>
    <w:multiLevelType w:val="hybridMultilevel"/>
    <w:tmpl w:val="880E16E0"/>
    <w:lvl w:ilvl="0" w:tplc="E99CC69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F85018"/>
    <w:multiLevelType w:val="hybridMultilevel"/>
    <w:tmpl w:val="CEF8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56A"/>
    <w:multiLevelType w:val="hybridMultilevel"/>
    <w:tmpl w:val="3A900C10"/>
    <w:lvl w:ilvl="0" w:tplc="78024CD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1F313A"/>
    <w:multiLevelType w:val="hybridMultilevel"/>
    <w:tmpl w:val="66C85D02"/>
    <w:lvl w:ilvl="0" w:tplc="810E66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16277"/>
    <w:multiLevelType w:val="hybridMultilevel"/>
    <w:tmpl w:val="679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0A70"/>
    <w:multiLevelType w:val="hybridMultilevel"/>
    <w:tmpl w:val="5C8AA2E0"/>
    <w:lvl w:ilvl="0" w:tplc="10D293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210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1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2C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E43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8E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6B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4F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4B687E"/>
    <w:multiLevelType w:val="hybridMultilevel"/>
    <w:tmpl w:val="CDAE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3A99"/>
    <w:multiLevelType w:val="hybridMultilevel"/>
    <w:tmpl w:val="6B483AF0"/>
    <w:lvl w:ilvl="0" w:tplc="7A8E4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50AB"/>
    <w:multiLevelType w:val="hybridMultilevel"/>
    <w:tmpl w:val="FAB2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1B5C"/>
    <w:multiLevelType w:val="hybridMultilevel"/>
    <w:tmpl w:val="330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631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0E3F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CE57CB"/>
    <w:multiLevelType w:val="hybridMultilevel"/>
    <w:tmpl w:val="879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27354"/>
    <w:multiLevelType w:val="hybridMultilevel"/>
    <w:tmpl w:val="7C5C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1589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3A24"/>
    <w:multiLevelType w:val="hybridMultilevel"/>
    <w:tmpl w:val="587A9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728522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31706F"/>
    <w:multiLevelType w:val="hybridMultilevel"/>
    <w:tmpl w:val="3D4AB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8617F"/>
    <w:multiLevelType w:val="hybridMultilevel"/>
    <w:tmpl w:val="1B0AA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4AA4"/>
    <w:multiLevelType w:val="hybridMultilevel"/>
    <w:tmpl w:val="CA3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36890"/>
    <w:multiLevelType w:val="hybridMultilevel"/>
    <w:tmpl w:val="72CA353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728522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265FDE"/>
    <w:multiLevelType w:val="hybridMultilevel"/>
    <w:tmpl w:val="0C92C2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9C6729"/>
    <w:multiLevelType w:val="hybridMultilevel"/>
    <w:tmpl w:val="63D0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4D72"/>
    <w:multiLevelType w:val="hybridMultilevel"/>
    <w:tmpl w:val="8B34D1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61433"/>
    <w:multiLevelType w:val="hybridMultilevel"/>
    <w:tmpl w:val="68668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20432"/>
    <w:multiLevelType w:val="hybridMultilevel"/>
    <w:tmpl w:val="2EF2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9F39B3"/>
    <w:multiLevelType w:val="hybridMultilevel"/>
    <w:tmpl w:val="6C66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16BB5"/>
    <w:multiLevelType w:val="hybridMultilevel"/>
    <w:tmpl w:val="00EA7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35"/>
  </w:num>
  <w:num w:numId="5">
    <w:abstractNumId w:val="2"/>
  </w:num>
  <w:num w:numId="6">
    <w:abstractNumId w:val="34"/>
  </w:num>
  <w:num w:numId="7">
    <w:abstractNumId w:val="0"/>
  </w:num>
  <w:num w:numId="8">
    <w:abstractNumId w:val="20"/>
  </w:num>
  <w:num w:numId="9">
    <w:abstractNumId w:val="5"/>
  </w:num>
  <w:num w:numId="10">
    <w:abstractNumId w:val="12"/>
  </w:num>
  <w:num w:numId="11">
    <w:abstractNumId w:val="9"/>
  </w:num>
  <w:num w:numId="12">
    <w:abstractNumId w:val="43"/>
  </w:num>
  <w:num w:numId="13">
    <w:abstractNumId w:val="10"/>
  </w:num>
  <w:num w:numId="14">
    <w:abstractNumId w:val="42"/>
  </w:num>
  <w:num w:numId="15">
    <w:abstractNumId w:val="25"/>
  </w:num>
  <w:num w:numId="16">
    <w:abstractNumId w:val="3"/>
  </w:num>
  <w:num w:numId="17">
    <w:abstractNumId w:val="4"/>
  </w:num>
  <w:num w:numId="18">
    <w:abstractNumId w:val="31"/>
  </w:num>
  <w:num w:numId="19">
    <w:abstractNumId w:val="36"/>
  </w:num>
  <w:num w:numId="20">
    <w:abstractNumId w:val="6"/>
  </w:num>
  <w:num w:numId="21">
    <w:abstractNumId w:val="24"/>
  </w:num>
  <w:num w:numId="22">
    <w:abstractNumId w:val="33"/>
  </w:num>
  <w:num w:numId="23">
    <w:abstractNumId w:val="32"/>
  </w:num>
  <w:num w:numId="24">
    <w:abstractNumId w:val="13"/>
  </w:num>
  <w:num w:numId="25">
    <w:abstractNumId w:val="7"/>
  </w:num>
  <w:num w:numId="26">
    <w:abstractNumId w:val="40"/>
  </w:num>
  <w:num w:numId="27">
    <w:abstractNumId w:val="28"/>
  </w:num>
  <w:num w:numId="28">
    <w:abstractNumId w:val="37"/>
  </w:num>
  <w:num w:numId="29">
    <w:abstractNumId w:val="26"/>
  </w:num>
  <w:num w:numId="30">
    <w:abstractNumId w:val="30"/>
  </w:num>
  <w:num w:numId="31">
    <w:abstractNumId w:val="19"/>
  </w:num>
  <w:num w:numId="32">
    <w:abstractNumId w:val="15"/>
  </w:num>
  <w:num w:numId="33">
    <w:abstractNumId w:val="17"/>
  </w:num>
  <w:num w:numId="34">
    <w:abstractNumId w:val="27"/>
  </w:num>
  <w:num w:numId="35">
    <w:abstractNumId w:val="16"/>
  </w:num>
  <w:num w:numId="36">
    <w:abstractNumId w:val="21"/>
  </w:num>
  <w:num w:numId="37">
    <w:abstractNumId w:val="38"/>
  </w:num>
  <w:num w:numId="38">
    <w:abstractNumId w:val="11"/>
  </w:num>
  <w:num w:numId="39">
    <w:abstractNumId w:val="29"/>
  </w:num>
  <w:num w:numId="40">
    <w:abstractNumId w:val="41"/>
  </w:num>
  <w:num w:numId="41">
    <w:abstractNumId w:val="44"/>
  </w:num>
  <w:num w:numId="42">
    <w:abstractNumId w:val="39"/>
  </w:num>
  <w:num w:numId="43">
    <w:abstractNumId w:val="1"/>
  </w:num>
  <w:num w:numId="44">
    <w:abstractNumId w:val="1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054DB"/>
    <w:rsid w:val="000524CE"/>
    <w:rsid w:val="0006204B"/>
    <w:rsid w:val="0006627A"/>
    <w:rsid w:val="00080714"/>
    <w:rsid w:val="00090844"/>
    <w:rsid w:val="00095EF9"/>
    <w:rsid w:val="000A00BA"/>
    <w:rsid w:val="000C5DDC"/>
    <w:rsid w:val="000C7F52"/>
    <w:rsid w:val="000E1F27"/>
    <w:rsid w:val="000F275D"/>
    <w:rsid w:val="000F4961"/>
    <w:rsid w:val="000F6EF1"/>
    <w:rsid w:val="00135B58"/>
    <w:rsid w:val="001526BD"/>
    <w:rsid w:val="001562B7"/>
    <w:rsid w:val="00157A23"/>
    <w:rsid w:val="001654D0"/>
    <w:rsid w:val="00174F6E"/>
    <w:rsid w:val="00183350"/>
    <w:rsid w:val="0019011C"/>
    <w:rsid w:val="00192C8A"/>
    <w:rsid w:val="001A1793"/>
    <w:rsid w:val="001A59CD"/>
    <w:rsid w:val="001B1AFD"/>
    <w:rsid w:val="001B741C"/>
    <w:rsid w:val="001D24E8"/>
    <w:rsid w:val="00202A2A"/>
    <w:rsid w:val="002040BD"/>
    <w:rsid w:val="00224705"/>
    <w:rsid w:val="00226D2C"/>
    <w:rsid w:val="00241EDE"/>
    <w:rsid w:val="00263EB2"/>
    <w:rsid w:val="00295C76"/>
    <w:rsid w:val="002B0F44"/>
    <w:rsid w:val="002D4956"/>
    <w:rsid w:val="002E618A"/>
    <w:rsid w:val="002F3837"/>
    <w:rsid w:val="003141E0"/>
    <w:rsid w:val="0032104A"/>
    <w:rsid w:val="00340303"/>
    <w:rsid w:val="00351021"/>
    <w:rsid w:val="00354D4B"/>
    <w:rsid w:val="00380012"/>
    <w:rsid w:val="00387DBC"/>
    <w:rsid w:val="003A1538"/>
    <w:rsid w:val="003A6119"/>
    <w:rsid w:val="003B4E6D"/>
    <w:rsid w:val="003E2315"/>
    <w:rsid w:val="003E7B63"/>
    <w:rsid w:val="004006B1"/>
    <w:rsid w:val="004139ED"/>
    <w:rsid w:val="00433536"/>
    <w:rsid w:val="00440109"/>
    <w:rsid w:val="00441632"/>
    <w:rsid w:val="00445057"/>
    <w:rsid w:val="004472B0"/>
    <w:rsid w:val="00466CB3"/>
    <w:rsid w:val="00473833"/>
    <w:rsid w:val="004811B7"/>
    <w:rsid w:val="00485BEB"/>
    <w:rsid w:val="00496AC4"/>
    <w:rsid w:val="004B6C20"/>
    <w:rsid w:val="004C2D6E"/>
    <w:rsid w:val="004D0CFF"/>
    <w:rsid w:val="00513AB6"/>
    <w:rsid w:val="005231E9"/>
    <w:rsid w:val="005260DC"/>
    <w:rsid w:val="005271D5"/>
    <w:rsid w:val="005368B1"/>
    <w:rsid w:val="005519A7"/>
    <w:rsid w:val="00576F98"/>
    <w:rsid w:val="00597E80"/>
    <w:rsid w:val="005A2388"/>
    <w:rsid w:val="005A5AE7"/>
    <w:rsid w:val="005C4288"/>
    <w:rsid w:val="005D45FD"/>
    <w:rsid w:val="005D53B6"/>
    <w:rsid w:val="005E616F"/>
    <w:rsid w:val="00602931"/>
    <w:rsid w:val="00617027"/>
    <w:rsid w:val="006245B6"/>
    <w:rsid w:val="00625432"/>
    <w:rsid w:val="00627846"/>
    <w:rsid w:val="00627B8A"/>
    <w:rsid w:val="00630B7C"/>
    <w:rsid w:val="0063347B"/>
    <w:rsid w:val="00646BEC"/>
    <w:rsid w:val="00661A3F"/>
    <w:rsid w:val="006620E7"/>
    <w:rsid w:val="006754AC"/>
    <w:rsid w:val="006838A1"/>
    <w:rsid w:val="006C5F3B"/>
    <w:rsid w:val="006E0E11"/>
    <w:rsid w:val="006F692C"/>
    <w:rsid w:val="00702CED"/>
    <w:rsid w:val="00715DAB"/>
    <w:rsid w:val="00727A6F"/>
    <w:rsid w:val="00727E87"/>
    <w:rsid w:val="00732699"/>
    <w:rsid w:val="00733D1E"/>
    <w:rsid w:val="00746C77"/>
    <w:rsid w:val="007547D2"/>
    <w:rsid w:val="0075761B"/>
    <w:rsid w:val="007710A9"/>
    <w:rsid w:val="00775532"/>
    <w:rsid w:val="007822AD"/>
    <w:rsid w:val="00786EFD"/>
    <w:rsid w:val="007C09E8"/>
    <w:rsid w:val="007C540E"/>
    <w:rsid w:val="007D46A3"/>
    <w:rsid w:val="007D4D98"/>
    <w:rsid w:val="00803285"/>
    <w:rsid w:val="008221D8"/>
    <w:rsid w:val="00826E56"/>
    <w:rsid w:val="00857376"/>
    <w:rsid w:val="008651C5"/>
    <w:rsid w:val="0086718C"/>
    <w:rsid w:val="00871F3B"/>
    <w:rsid w:val="00874BE0"/>
    <w:rsid w:val="00887A41"/>
    <w:rsid w:val="00894AF6"/>
    <w:rsid w:val="008A59FC"/>
    <w:rsid w:val="008B4113"/>
    <w:rsid w:val="008C0ADD"/>
    <w:rsid w:val="008C3EC6"/>
    <w:rsid w:val="008F5FE7"/>
    <w:rsid w:val="00906565"/>
    <w:rsid w:val="009141B6"/>
    <w:rsid w:val="00924961"/>
    <w:rsid w:val="00932C56"/>
    <w:rsid w:val="0094102C"/>
    <w:rsid w:val="00941B97"/>
    <w:rsid w:val="00964413"/>
    <w:rsid w:val="00965D18"/>
    <w:rsid w:val="009A7808"/>
    <w:rsid w:val="009B25D0"/>
    <w:rsid w:val="009C54D8"/>
    <w:rsid w:val="009C6186"/>
    <w:rsid w:val="009C7FB8"/>
    <w:rsid w:val="009D6D10"/>
    <w:rsid w:val="00A0661D"/>
    <w:rsid w:val="00A07D5F"/>
    <w:rsid w:val="00A403C9"/>
    <w:rsid w:val="00A44C37"/>
    <w:rsid w:val="00A46461"/>
    <w:rsid w:val="00A63ED0"/>
    <w:rsid w:val="00A76FE6"/>
    <w:rsid w:val="00AA0AB3"/>
    <w:rsid w:val="00AA58DA"/>
    <w:rsid w:val="00AD7742"/>
    <w:rsid w:val="00AE4C3E"/>
    <w:rsid w:val="00AE7A2A"/>
    <w:rsid w:val="00AF170D"/>
    <w:rsid w:val="00B01C89"/>
    <w:rsid w:val="00B02B67"/>
    <w:rsid w:val="00B0711F"/>
    <w:rsid w:val="00B10A26"/>
    <w:rsid w:val="00B14CD0"/>
    <w:rsid w:val="00B17253"/>
    <w:rsid w:val="00B27097"/>
    <w:rsid w:val="00B4721C"/>
    <w:rsid w:val="00B626F2"/>
    <w:rsid w:val="00B706DF"/>
    <w:rsid w:val="00B7420D"/>
    <w:rsid w:val="00B75D30"/>
    <w:rsid w:val="00B778F5"/>
    <w:rsid w:val="00B81A14"/>
    <w:rsid w:val="00B85CB8"/>
    <w:rsid w:val="00BA7260"/>
    <w:rsid w:val="00BB7877"/>
    <w:rsid w:val="00BC585C"/>
    <w:rsid w:val="00BC6AB2"/>
    <w:rsid w:val="00BD2490"/>
    <w:rsid w:val="00BD273D"/>
    <w:rsid w:val="00BF0E69"/>
    <w:rsid w:val="00C04E67"/>
    <w:rsid w:val="00C264CA"/>
    <w:rsid w:val="00C26B65"/>
    <w:rsid w:val="00C55825"/>
    <w:rsid w:val="00C666A6"/>
    <w:rsid w:val="00C921B4"/>
    <w:rsid w:val="00CA6898"/>
    <w:rsid w:val="00CA7344"/>
    <w:rsid w:val="00CC4FD4"/>
    <w:rsid w:val="00CE2C57"/>
    <w:rsid w:val="00CE6479"/>
    <w:rsid w:val="00D0246A"/>
    <w:rsid w:val="00D026BA"/>
    <w:rsid w:val="00D1761C"/>
    <w:rsid w:val="00D50C70"/>
    <w:rsid w:val="00D7056D"/>
    <w:rsid w:val="00D73B87"/>
    <w:rsid w:val="00DA7298"/>
    <w:rsid w:val="00DB0731"/>
    <w:rsid w:val="00DB0E42"/>
    <w:rsid w:val="00DB5CE1"/>
    <w:rsid w:val="00DC01A4"/>
    <w:rsid w:val="00DC45C4"/>
    <w:rsid w:val="00DC51EC"/>
    <w:rsid w:val="00DC5BF1"/>
    <w:rsid w:val="00DC63DE"/>
    <w:rsid w:val="00DD5FA4"/>
    <w:rsid w:val="00E066B8"/>
    <w:rsid w:val="00E23F42"/>
    <w:rsid w:val="00E27A9B"/>
    <w:rsid w:val="00E32A6B"/>
    <w:rsid w:val="00E378E3"/>
    <w:rsid w:val="00E47135"/>
    <w:rsid w:val="00E471C8"/>
    <w:rsid w:val="00E54934"/>
    <w:rsid w:val="00E640F0"/>
    <w:rsid w:val="00E653C0"/>
    <w:rsid w:val="00E908CE"/>
    <w:rsid w:val="00EA4C71"/>
    <w:rsid w:val="00EB4312"/>
    <w:rsid w:val="00EB43EF"/>
    <w:rsid w:val="00ED3880"/>
    <w:rsid w:val="00EE3BA9"/>
    <w:rsid w:val="00F01EB6"/>
    <w:rsid w:val="00F23A3F"/>
    <w:rsid w:val="00F34B5E"/>
    <w:rsid w:val="00F350FD"/>
    <w:rsid w:val="00F35E2E"/>
    <w:rsid w:val="00F562C8"/>
    <w:rsid w:val="00F63112"/>
    <w:rsid w:val="00F640B1"/>
    <w:rsid w:val="00F8711B"/>
    <w:rsid w:val="00F935E8"/>
    <w:rsid w:val="00FC415F"/>
    <w:rsid w:val="00FD7DA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1BCC5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9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RCW/default.aspx?cite=39.26.005" TargetMode="External"/><Relationship Id="rId18" Type="http://schemas.openxmlformats.org/officeDocument/2006/relationships/hyperlink" Target="https://app.leg.wa.gov/RCW/default.aspx?cite=39.26.01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pp.leg.wa.gov/RCW/default.aspx?cite=39.26.09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leg.wa.gov/RCW/default.aspx?cite=39.26.090" TargetMode="External"/><Relationship Id="rId17" Type="http://schemas.openxmlformats.org/officeDocument/2006/relationships/hyperlink" Target="https://app.leg.wa.gov/RCW/default.aspx?cite=43.60A.200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39.26.160" TargetMode="External"/><Relationship Id="rId20" Type="http://schemas.openxmlformats.org/officeDocument/2006/relationships/hyperlink" Target="mailto:https://des.wa.gov/sites/default/files/public/documents/About/Procurement_reform/Policies/DES-210-01AgencyContractReporting.pdf?=c04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28B.10.016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pps.leg.wa.gov/rcw/default.aspx?cite=39.26&amp;full=true" TargetMode="External"/><Relationship Id="rId23" Type="http://schemas.openxmlformats.org/officeDocument/2006/relationships/hyperlink" Target="file:///\\des.wa.lcl\doc\CPRM\Enterprise-Policy\Pol_Pro_Gdl%20Documents\Green%20Purchasing%20Policies\Drafts\Sample%20Recycled%20Products%20%20Language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ernor.wa.gov/sites/default/files/exe_order/19-01_VeteranAndMilitaryFamily%2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.leg.wa.gov/RCW/default.aspx?cite=39.26.240" TargetMode="External"/><Relationship Id="rId22" Type="http://schemas.openxmlformats.org/officeDocument/2006/relationships/hyperlink" Target="http://app.leg.wa.gov/RCW/default.aspx?cite=28B.10.029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516289-BDB6-40DE-BB0B-8341F8A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Reynolds, Jennifer (DES)</cp:lastModifiedBy>
  <cp:revision>2</cp:revision>
  <cp:lastPrinted>2019-01-08T22:15:00Z</cp:lastPrinted>
  <dcterms:created xsi:type="dcterms:W3CDTF">2020-06-23T21:06:00Z</dcterms:created>
  <dcterms:modified xsi:type="dcterms:W3CDTF">2020-06-23T21:06:00Z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