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BE1FF" w14:textId="7EFB4C36" w:rsidR="00995629" w:rsidRPr="00E127C1" w:rsidRDefault="009B4020" w:rsidP="009B4020">
      <w:pPr>
        <w:pStyle w:val="NoSpacing"/>
        <w:ind w:left="-360"/>
        <w:rPr>
          <w:rFonts w:ascii="Arial" w:hAnsi="Arial"/>
          <w:b/>
          <w:sz w:val="24"/>
        </w:rPr>
      </w:pPr>
      <w:r w:rsidRPr="00E127C1">
        <w:rPr>
          <w:rFonts w:ascii="Arial" w:hAnsi="Arial"/>
          <w:b/>
          <w:sz w:val="24"/>
        </w:rPr>
        <w:t>POL-DES-</w:t>
      </w:r>
      <w:r w:rsidR="00FA0501">
        <w:rPr>
          <w:rFonts w:ascii="Arial" w:hAnsi="Arial"/>
          <w:b/>
          <w:sz w:val="24"/>
        </w:rPr>
        <w:t>120-00</w:t>
      </w:r>
      <w:r w:rsidR="009766D7">
        <w:rPr>
          <w:rFonts w:ascii="Arial" w:hAnsi="Arial"/>
          <w:b/>
          <w:sz w:val="24"/>
        </w:rPr>
        <w:t xml:space="preserve"> Direct Buy</w:t>
      </w:r>
      <w:r w:rsidR="00380D18">
        <w:rPr>
          <w:rFonts w:ascii="Arial" w:hAnsi="Arial"/>
          <w:b/>
          <w:sz w:val="24"/>
        </w:rPr>
        <w:t xml:space="preserve"> Purchases</w:t>
      </w:r>
    </w:p>
    <w:p w14:paraId="6C39DB69" w14:textId="77777777" w:rsidR="009B4020" w:rsidRDefault="009B4020" w:rsidP="009B4020">
      <w:pPr>
        <w:pStyle w:val="NoSpacing"/>
        <w:ind w:left="-360"/>
        <w:rPr>
          <w:rFonts w:ascii="Arial" w:hAnsi="Arial"/>
          <w:sz w:val="24"/>
        </w:rPr>
      </w:pPr>
    </w:p>
    <w:p w14:paraId="02A33B04" w14:textId="48AFA59E" w:rsidR="007861C4" w:rsidRDefault="009766D7" w:rsidP="00551EFE">
      <w:pPr>
        <w:pStyle w:val="NoSpacing"/>
        <w:spacing w:before="120"/>
        <w:jc w:val="both"/>
        <w:rPr>
          <w:rFonts w:ascii="Arial" w:hAnsi="Arial" w:cs="Arial"/>
          <w:sz w:val="20"/>
          <w:szCs w:val="24"/>
        </w:rPr>
      </w:pPr>
      <w:r w:rsidRPr="009766D7">
        <w:rPr>
          <w:rFonts w:ascii="Arial" w:hAnsi="Arial"/>
          <w:sz w:val="20"/>
        </w:rPr>
        <w:t>A competitive solicitation process must be used for all purchases of goods and services unless there is an exception listed under RCW 39.26.1</w:t>
      </w:r>
      <w:r w:rsidR="00AF2EF2">
        <w:rPr>
          <w:rFonts w:ascii="Arial" w:hAnsi="Arial"/>
          <w:sz w:val="20"/>
        </w:rPr>
        <w:t>25</w:t>
      </w:r>
      <w:r w:rsidRPr="009766D7">
        <w:rPr>
          <w:rFonts w:ascii="Arial" w:hAnsi="Arial"/>
          <w:sz w:val="20"/>
        </w:rPr>
        <w:t>.</w:t>
      </w:r>
      <w:r>
        <w:rPr>
          <w:rFonts w:ascii="Arial" w:hAnsi="Arial"/>
          <w:b/>
          <w:sz w:val="20"/>
        </w:rPr>
        <w:t xml:space="preserve">  </w:t>
      </w:r>
      <w:r w:rsidR="00A554EC">
        <w:rPr>
          <w:rFonts w:ascii="Arial" w:hAnsi="Arial"/>
          <w:sz w:val="20"/>
        </w:rPr>
        <w:t xml:space="preserve">Direct buy purchases are one of the exceptions. </w:t>
      </w:r>
      <w:r w:rsidR="009B4020" w:rsidRPr="003C7D21">
        <w:rPr>
          <w:rFonts w:ascii="Arial" w:hAnsi="Arial" w:cs="Arial"/>
          <w:sz w:val="20"/>
          <w:szCs w:val="24"/>
        </w:rPr>
        <w:t xml:space="preserve">This policy </w:t>
      </w:r>
      <w:r w:rsidR="0069755D">
        <w:rPr>
          <w:rFonts w:ascii="Arial" w:hAnsi="Arial" w:cs="Arial"/>
          <w:sz w:val="20"/>
          <w:szCs w:val="24"/>
        </w:rPr>
        <w:t>establishes the</w:t>
      </w:r>
      <w:r w:rsidR="008F03E6">
        <w:rPr>
          <w:rFonts w:ascii="Arial" w:hAnsi="Arial" w:cs="Arial"/>
          <w:sz w:val="20"/>
          <w:szCs w:val="24"/>
        </w:rPr>
        <w:t xml:space="preserve"> </w:t>
      </w:r>
      <w:r w:rsidR="00F44D83">
        <w:rPr>
          <w:rFonts w:ascii="Arial" w:hAnsi="Arial" w:cs="Arial"/>
          <w:sz w:val="20"/>
          <w:szCs w:val="24"/>
        </w:rPr>
        <w:t>Direct Bu</w:t>
      </w:r>
      <w:r>
        <w:rPr>
          <w:rFonts w:ascii="Arial" w:hAnsi="Arial" w:cs="Arial"/>
          <w:sz w:val="20"/>
          <w:szCs w:val="24"/>
        </w:rPr>
        <w:t>y</w:t>
      </w:r>
      <w:r w:rsidR="00FA0501">
        <w:rPr>
          <w:rFonts w:ascii="Arial" w:hAnsi="Arial" w:cs="Arial"/>
          <w:sz w:val="20"/>
          <w:szCs w:val="24"/>
        </w:rPr>
        <w:t xml:space="preserve"> procurement </w:t>
      </w:r>
      <w:r w:rsidR="002908C7">
        <w:rPr>
          <w:rFonts w:ascii="Arial" w:hAnsi="Arial" w:cs="Arial"/>
          <w:sz w:val="20"/>
          <w:szCs w:val="24"/>
        </w:rPr>
        <w:t>level</w:t>
      </w:r>
      <w:r w:rsidR="00FA0501">
        <w:rPr>
          <w:rFonts w:ascii="Arial" w:hAnsi="Arial" w:cs="Arial"/>
          <w:sz w:val="20"/>
          <w:szCs w:val="24"/>
        </w:rPr>
        <w:t>s</w:t>
      </w:r>
      <w:r w:rsidR="003C7D21" w:rsidRPr="003C7D21">
        <w:rPr>
          <w:rFonts w:ascii="Arial" w:hAnsi="Arial" w:cs="Arial"/>
          <w:sz w:val="20"/>
          <w:szCs w:val="24"/>
        </w:rPr>
        <w:t xml:space="preserve"> </w:t>
      </w:r>
      <w:r w:rsidR="0069755D">
        <w:rPr>
          <w:rFonts w:ascii="Arial" w:hAnsi="Arial" w:cs="Arial"/>
          <w:sz w:val="20"/>
          <w:szCs w:val="24"/>
        </w:rPr>
        <w:t xml:space="preserve">authorized in </w:t>
      </w:r>
      <w:r w:rsidR="007861C4">
        <w:rPr>
          <w:rFonts w:ascii="Arial" w:hAnsi="Arial" w:cs="Arial"/>
          <w:sz w:val="20"/>
          <w:szCs w:val="24"/>
        </w:rPr>
        <w:t>RCW 39.26.125</w:t>
      </w:r>
      <w:r w:rsidR="00AF2EF2">
        <w:rPr>
          <w:rFonts w:ascii="Arial" w:hAnsi="Arial" w:cs="Arial"/>
          <w:sz w:val="20"/>
          <w:szCs w:val="24"/>
        </w:rPr>
        <w:t xml:space="preserve"> </w:t>
      </w:r>
      <w:r w:rsidR="007861C4">
        <w:rPr>
          <w:rFonts w:ascii="Arial" w:hAnsi="Arial" w:cs="Arial"/>
          <w:sz w:val="20"/>
          <w:szCs w:val="24"/>
        </w:rPr>
        <w:t>(3).  This policy applies to all purchases for goods and services</w:t>
      </w:r>
      <w:r w:rsidR="00B70B86">
        <w:rPr>
          <w:rFonts w:ascii="Arial" w:hAnsi="Arial" w:cs="Arial"/>
          <w:sz w:val="20"/>
          <w:szCs w:val="24"/>
        </w:rPr>
        <w:t xml:space="preserve"> executed by agencies under delegated authority granted in accordance with </w:t>
      </w:r>
      <w:hyperlink r:id="rId8" w:history="1">
        <w:r w:rsidR="00B70B86" w:rsidRPr="00A25B19">
          <w:rPr>
            <w:rStyle w:val="Hyperlink"/>
            <w:rFonts w:ascii="Arial" w:hAnsi="Arial" w:cs="Arial"/>
            <w:sz w:val="20"/>
            <w:szCs w:val="24"/>
          </w:rPr>
          <w:t>RCW 39.26.090</w:t>
        </w:r>
      </w:hyperlink>
      <w:r w:rsidR="00B70B86">
        <w:rPr>
          <w:rFonts w:ascii="Arial" w:hAnsi="Arial" w:cs="Arial"/>
          <w:sz w:val="20"/>
          <w:szCs w:val="24"/>
        </w:rPr>
        <w:t xml:space="preserve"> or under </w:t>
      </w:r>
      <w:hyperlink r:id="rId9" w:history="1">
        <w:r w:rsidR="00B70B86" w:rsidRPr="00A25B19">
          <w:rPr>
            <w:rStyle w:val="Hyperlink"/>
            <w:rFonts w:ascii="Arial" w:hAnsi="Arial" w:cs="Arial"/>
            <w:sz w:val="20"/>
            <w:szCs w:val="24"/>
          </w:rPr>
          <w:t>RCW 28B.10.029</w:t>
        </w:r>
      </w:hyperlink>
      <w:r w:rsidR="007861C4">
        <w:rPr>
          <w:rFonts w:ascii="Arial" w:hAnsi="Arial" w:cs="Arial"/>
          <w:sz w:val="20"/>
          <w:szCs w:val="24"/>
        </w:rPr>
        <w:t>.</w:t>
      </w:r>
    </w:p>
    <w:p w14:paraId="4B1BC346" w14:textId="77777777" w:rsidR="00D71F3F" w:rsidRDefault="00D71F3F" w:rsidP="00551EFE">
      <w:pPr>
        <w:pStyle w:val="NoSpacing"/>
        <w:spacing w:before="120"/>
        <w:jc w:val="both"/>
        <w:rPr>
          <w:rFonts w:ascii="Arial" w:hAnsi="Arial" w:cs="Arial"/>
          <w:sz w:val="20"/>
          <w:szCs w:val="24"/>
        </w:rPr>
      </w:pPr>
    </w:p>
    <w:p w14:paraId="031F1E77" w14:textId="77777777" w:rsidR="00D71F3F" w:rsidRDefault="00D71F3F" w:rsidP="007F7742">
      <w:pPr>
        <w:pStyle w:val="NoSpacing"/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The following direct buy </w:t>
      </w:r>
      <w:r w:rsidRPr="007F7742">
        <w:rPr>
          <w:rFonts w:ascii="Arial" w:hAnsi="Arial" w:cs="Arial"/>
          <w:b/>
          <w:sz w:val="20"/>
          <w:szCs w:val="24"/>
        </w:rPr>
        <w:t>designations</w:t>
      </w:r>
      <w:r>
        <w:rPr>
          <w:rFonts w:ascii="Arial" w:hAnsi="Arial" w:cs="Arial"/>
          <w:sz w:val="20"/>
          <w:szCs w:val="24"/>
        </w:rPr>
        <w:t xml:space="preserve"> shall apply:</w:t>
      </w:r>
    </w:p>
    <w:p w14:paraId="5BE07107" w14:textId="300639E8" w:rsidR="00D71F3F" w:rsidRDefault="00D71F3F" w:rsidP="006F1595">
      <w:pPr>
        <w:pStyle w:val="NoSpacing"/>
        <w:numPr>
          <w:ilvl w:val="1"/>
          <w:numId w:val="13"/>
        </w:numPr>
        <w:spacing w:before="120"/>
        <w:jc w:val="both"/>
        <w:rPr>
          <w:rFonts w:ascii="Arial" w:hAnsi="Arial" w:cs="Arial"/>
          <w:sz w:val="20"/>
          <w:szCs w:val="24"/>
        </w:rPr>
      </w:pPr>
      <w:r w:rsidRPr="006F1595">
        <w:rPr>
          <w:rFonts w:ascii="Arial" w:hAnsi="Arial" w:cs="Arial"/>
          <w:b/>
          <w:sz w:val="20"/>
          <w:szCs w:val="24"/>
        </w:rPr>
        <w:t>Direct Buy Level 1:</w:t>
      </w:r>
      <w:r>
        <w:rPr>
          <w:rFonts w:ascii="Arial" w:hAnsi="Arial" w:cs="Arial"/>
          <w:sz w:val="20"/>
          <w:szCs w:val="24"/>
        </w:rPr>
        <w:t xml:space="preserve">  </w:t>
      </w:r>
    </w:p>
    <w:p w14:paraId="4C5D036B" w14:textId="6118D5C8" w:rsidR="00E561EA" w:rsidRDefault="00E561EA" w:rsidP="006F1595">
      <w:pPr>
        <w:pStyle w:val="NoSpacing"/>
        <w:numPr>
          <w:ilvl w:val="1"/>
          <w:numId w:val="13"/>
        </w:numPr>
        <w:spacing w:before="120"/>
        <w:jc w:val="both"/>
        <w:rPr>
          <w:rFonts w:ascii="Arial" w:hAnsi="Arial" w:cs="Arial"/>
          <w:sz w:val="20"/>
          <w:szCs w:val="24"/>
        </w:rPr>
      </w:pPr>
      <w:r w:rsidRPr="006F1595">
        <w:rPr>
          <w:rFonts w:ascii="Arial" w:hAnsi="Arial" w:cs="Arial"/>
          <w:b/>
          <w:sz w:val="20"/>
          <w:szCs w:val="24"/>
        </w:rPr>
        <w:t>Direct Buy Level 2:</w:t>
      </w:r>
      <w:r w:rsidR="00A90A80">
        <w:rPr>
          <w:rFonts w:ascii="Arial" w:hAnsi="Arial" w:cs="Arial"/>
          <w:sz w:val="20"/>
          <w:szCs w:val="24"/>
        </w:rPr>
        <w:t xml:space="preserve">  </w:t>
      </w:r>
      <w:bookmarkStart w:id="0" w:name="_GoBack"/>
      <w:bookmarkEnd w:id="0"/>
    </w:p>
    <w:p w14:paraId="14408C87" w14:textId="171D4915" w:rsidR="005D7DAA" w:rsidRDefault="005D7DAA" w:rsidP="006F1595">
      <w:pPr>
        <w:pStyle w:val="NoSpacing"/>
        <w:numPr>
          <w:ilvl w:val="1"/>
          <w:numId w:val="13"/>
        </w:numPr>
        <w:spacing w:before="1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Direct buy designations exclude </w:t>
      </w:r>
      <w:r w:rsidR="003A4D6B">
        <w:rPr>
          <w:rFonts w:ascii="Arial" w:hAnsi="Arial" w:cs="Arial"/>
          <w:sz w:val="20"/>
          <w:szCs w:val="24"/>
        </w:rPr>
        <w:t xml:space="preserve">shipping, </w:t>
      </w:r>
      <w:r>
        <w:rPr>
          <w:rFonts w:ascii="Arial" w:hAnsi="Arial" w:cs="Arial"/>
          <w:sz w:val="20"/>
          <w:szCs w:val="24"/>
        </w:rPr>
        <w:t>sales and use tax,</w:t>
      </w:r>
      <w:r w:rsidR="003A4D6B">
        <w:rPr>
          <w:rFonts w:ascii="Arial" w:hAnsi="Arial" w:cs="Arial"/>
          <w:sz w:val="20"/>
          <w:szCs w:val="24"/>
        </w:rPr>
        <w:t xml:space="preserve"> and</w:t>
      </w:r>
      <w:r>
        <w:rPr>
          <w:rFonts w:ascii="Arial" w:hAnsi="Arial" w:cs="Arial"/>
          <w:sz w:val="20"/>
          <w:szCs w:val="24"/>
        </w:rPr>
        <w:t xml:space="preserve"> finance charges</w:t>
      </w:r>
      <w:r w:rsidR="003A4D6B">
        <w:rPr>
          <w:rFonts w:ascii="Arial" w:hAnsi="Arial" w:cs="Arial"/>
          <w:sz w:val="20"/>
          <w:szCs w:val="24"/>
        </w:rPr>
        <w:t>.</w:t>
      </w:r>
    </w:p>
    <w:p w14:paraId="54D8739D" w14:textId="742CB61D" w:rsidR="00CC2420" w:rsidRDefault="00CC2420" w:rsidP="006F1595">
      <w:pPr>
        <w:pStyle w:val="NoSpacing"/>
        <w:numPr>
          <w:ilvl w:val="1"/>
          <w:numId w:val="13"/>
        </w:numPr>
        <w:spacing w:before="1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If any amendment causes the direct buy purchase to exceed the direct buy threshold, the amendment shall be competed.</w:t>
      </w:r>
    </w:p>
    <w:p w14:paraId="2759039A" w14:textId="77777777" w:rsidR="00E561EA" w:rsidRDefault="00E561EA" w:rsidP="006F1595">
      <w:pPr>
        <w:pStyle w:val="NoSpacing"/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Direct buy purchases are an exception to competitive solicitation requirements and can be purchased directly from a vendor without formal competition.</w:t>
      </w:r>
    </w:p>
    <w:p w14:paraId="2C2A1A85" w14:textId="5E07FDF2" w:rsidR="007F15C3" w:rsidRDefault="000C6E21" w:rsidP="006F1595">
      <w:pPr>
        <w:pStyle w:val="NoSpacing"/>
        <w:numPr>
          <w:ilvl w:val="1"/>
          <w:numId w:val="13"/>
        </w:numPr>
        <w:spacing w:before="120"/>
        <w:jc w:val="both"/>
        <w:rPr>
          <w:rFonts w:ascii="Arial" w:hAnsi="Arial" w:cs="Arial"/>
          <w:sz w:val="20"/>
          <w:szCs w:val="24"/>
        </w:rPr>
      </w:pPr>
      <w:hyperlink r:id="rId10" w:history="1">
        <w:r w:rsidR="00CC2420" w:rsidRPr="00A25B19">
          <w:rPr>
            <w:rStyle w:val="Hyperlink"/>
            <w:rFonts w:ascii="Arial" w:hAnsi="Arial" w:cs="Arial"/>
            <w:sz w:val="20"/>
            <w:szCs w:val="24"/>
          </w:rPr>
          <w:t>DES’ Protest Policy #DES-170-00</w:t>
        </w:r>
      </w:hyperlink>
      <w:r w:rsidR="00CC2420">
        <w:rPr>
          <w:rFonts w:ascii="Arial" w:hAnsi="Arial" w:cs="Arial"/>
          <w:sz w:val="20"/>
          <w:szCs w:val="24"/>
        </w:rPr>
        <w:t xml:space="preserve"> does not apply.</w:t>
      </w:r>
    </w:p>
    <w:p w14:paraId="00E49167" w14:textId="55826D9C" w:rsidR="000F25F5" w:rsidRDefault="000F25F5" w:rsidP="006F1595">
      <w:pPr>
        <w:pStyle w:val="NoSpacing"/>
        <w:numPr>
          <w:ilvl w:val="1"/>
          <w:numId w:val="13"/>
        </w:numPr>
        <w:spacing w:before="1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Advertising in Washington’s Electronic Business Solution (WEBS) is not required.</w:t>
      </w:r>
    </w:p>
    <w:p w14:paraId="1CEBFBB8" w14:textId="45AA2A6B" w:rsidR="00E561EA" w:rsidRDefault="00E561EA" w:rsidP="006F1595">
      <w:pPr>
        <w:pStyle w:val="NoSpacing"/>
        <w:numPr>
          <w:ilvl w:val="1"/>
          <w:numId w:val="13"/>
        </w:numPr>
        <w:spacing w:before="1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Agencies shall use due diligence to determine that the price is reasonable based on experience and knowledge of the market.</w:t>
      </w:r>
    </w:p>
    <w:p w14:paraId="24249458" w14:textId="164BA0CA" w:rsidR="00E561EA" w:rsidRDefault="00E561EA" w:rsidP="006F1595">
      <w:pPr>
        <w:pStyle w:val="NoSpacing"/>
        <w:numPr>
          <w:ilvl w:val="1"/>
          <w:numId w:val="13"/>
        </w:numPr>
        <w:spacing w:before="1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Documentation to support the reasonableness of purchase decisions, including market research</w:t>
      </w:r>
      <w:r w:rsidR="00F62426">
        <w:rPr>
          <w:rFonts w:ascii="Arial" w:hAnsi="Arial" w:cs="Arial"/>
          <w:sz w:val="20"/>
          <w:szCs w:val="24"/>
        </w:rPr>
        <w:t xml:space="preserve"> and</w:t>
      </w:r>
      <w:r w:rsidR="003E230E">
        <w:rPr>
          <w:rFonts w:ascii="Arial" w:hAnsi="Arial" w:cs="Arial"/>
          <w:sz w:val="20"/>
          <w:szCs w:val="24"/>
        </w:rPr>
        <w:t xml:space="preserve"> validation of firm’s meeting criteria in Direct Buy Level 2</w:t>
      </w:r>
      <w:r>
        <w:rPr>
          <w:rFonts w:ascii="Arial" w:hAnsi="Arial" w:cs="Arial"/>
          <w:sz w:val="20"/>
          <w:szCs w:val="24"/>
        </w:rPr>
        <w:t>, shall be included in the purchase file where appropriate.</w:t>
      </w:r>
    </w:p>
    <w:p w14:paraId="2A5BA6EC" w14:textId="77777777" w:rsidR="00E561EA" w:rsidRDefault="00E561EA" w:rsidP="006F1595">
      <w:pPr>
        <w:pStyle w:val="NoSpacing"/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Agencies must use existing qualified master contracts unless they cannot justifiably satisfy agency needs as documented by the agency.</w:t>
      </w:r>
    </w:p>
    <w:p w14:paraId="13CD17F5" w14:textId="26309CC9" w:rsidR="00CA6984" w:rsidRDefault="000679C8" w:rsidP="006F1595">
      <w:pPr>
        <w:pStyle w:val="NoSpacing"/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Agencies may not unbundle or manipulate a purchase to have the purchase qualify as a direct buy purchase to avoid using a competitive process.</w:t>
      </w:r>
    </w:p>
    <w:p w14:paraId="31FB9A12" w14:textId="0BE1F99C" w:rsidR="00CA6984" w:rsidRPr="00CA6984" w:rsidRDefault="00CA6984" w:rsidP="006F1595">
      <w:pPr>
        <w:pStyle w:val="NoSpacing"/>
        <w:numPr>
          <w:ilvl w:val="1"/>
          <w:numId w:val="13"/>
        </w:numPr>
        <w:spacing w:before="1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Repetitive purchases, defined as </w:t>
      </w:r>
      <w:r w:rsidR="001136E4">
        <w:rPr>
          <w:rFonts w:ascii="Arial" w:hAnsi="Arial" w:cs="Arial"/>
          <w:sz w:val="20"/>
          <w:szCs w:val="24"/>
        </w:rPr>
        <w:t>an agency cumulative total over the direct buy limit with a single vendor</w:t>
      </w:r>
      <w:r w:rsidR="00712A2C">
        <w:rPr>
          <w:rFonts w:ascii="Arial" w:hAnsi="Arial" w:cs="Arial"/>
          <w:sz w:val="20"/>
          <w:szCs w:val="24"/>
        </w:rPr>
        <w:t xml:space="preserve"> in a fiscal year</w:t>
      </w:r>
      <w:r w:rsidR="001136E4">
        <w:rPr>
          <w:rFonts w:ascii="Arial" w:hAnsi="Arial" w:cs="Arial"/>
          <w:sz w:val="20"/>
          <w:szCs w:val="24"/>
        </w:rPr>
        <w:t>, shall be competed.</w:t>
      </w:r>
    </w:p>
    <w:p w14:paraId="668B4A25" w14:textId="77777777" w:rsidR="000679C8" w:rsidRDefault="000679C8" w:rsidP="006F1595">
      <w:pPr>
        <w:pStyle w:val="NoSpacing"/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All applicable information technology related procurements must conform to the Office of Chief Information Officer (OCIO) Policy #121.</w:t>
      </w:r>
    </w:p>
    <w:p w14:paraId="16F4AC5F" w14:textId="7794DCB9" w:rsidR="00075EB9" w:rsidRPr="00075EB9" w:rsidRDefault="000679C8" w:rsidP="00075EB9">
      <w:pPr>
        <w:pStyle w:val="NoSpacing"/>
        <w:numPr>
          <w:ilvl w:val="0"/>
          <w:numId w:val="13"/>
        </w:numPr>
        <w:spacing w:before="120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An agency’s record of compliance with the direct buy policy will be a factor in an agency’s risk assessment.</w:t>
      </w:r>
    </w:p>
    <w:p w14:paraId="3E60FD30" w14:textId="77777777" w:rsidR="000679C8" w:rsidRPr="003C7D21" w:rsidRDefault="000679C8" w:rsidP="007F7742">
      <w:pPr>
        <w:pStyle w:val="NoSpacing"/>
        <w:spacing w:before="120"/>
        <w:ind w:left="360"/>
        <w:jc w:val="both"/>
        <w:rPr>
          <w:rFonts w:ascii="Arial" w:hAnsi="Arial" w:cs="Arial"/>
          <w:sz w:val="20"/>
          <w:szCs w:val="24"/>
        </w:rPr>
      </w:pPr>
    </w:p>
    <w:p w14:paraId="7B827D7D" w14:textId="49B10C84" w:rsidR="00D43348" w:rsidRPr="00E279C4" w:rsidRDefault="00D43348" w:rsidP="002908C7">
      <w:pPr>
        <w:pStyle w:val="NoSpacing"/>
        <w:rPr>
          <w:rFonts w:ascii="Arial" w:hAnsi="Arial" w:cs="Arial"/>
          <w:sz w:val="20"/>
        </w:rPr>
      </w:pPr>
    </w:p>
    <w:sectPr w:rsidR="00D43348" w:rsidRPr="00E279C4" w:rsidSect="00D304B4"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883D45" w14:textId="77777777" w:rsidR="004F23E7" w:rsidRDefault="004F23E7" w:rsidP="009B446E">
      <w:pPr>
        <w:spacing w:after="0" w:line="240" w:lineRule="auto"/>
      </w:pPr>
      <w:r>
        <w:separator/>
      </w:r>
    </w:p>
  </w:endnote>
  <w:endnote w:type="continuationSeparator" w:id="0">
    <w:p w14:paraId="4AC5B613" w14:textId="77777777" w:rsidR="004F23E7" w:rsidRDefault="004F23E7" w:rsidP="009B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27884" w14:textId="0A625775" w:rsidR="00075EB9" w:rsidRPr="00075EB9" w:rsidRDefault="00075EB9">
    <w:pPr>
      <w:pStyle w:val="Footer"/>
      <w:rPr>
        <w:rFonts w:ascii="Arial" w:hAnsi="Arial"/>
        <w:i/>
        <w:sz w:val="16"/>
      </w:rPr>
    </w:pPr>
    <w:r w:rsidRPr="00075EB9">
      <w:rPr>
        <w:rFonts w:ascii="Arial" w:hAnsi="Arial"/>
        <w:i/>
        <w:sz w:val="16"/>
      </w:rPr>
      <w:t xml:space="preserve">Disclaimer:  This draft is to present conceptual ideas and strategies to address stakeholder input received to date.  This is no way reflects DES’ final decision or direction.   </w:t>
    </w:r>
  </w:p>
  <w:p w14:paraId="4B75E054" w14:textId="77777777" w:rsidR="00075EB9" w:rsidRDefault="00075E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50024" w14:textId="77777777" w:rsidR="004F23E7" w:rsidRDefault="004F23E7" w:rsidP="009B446E">
      <w:pPr>
        <w:spacing w:after="0" w:line="240" w:lineRule="auto"/>
      </w:pPr>
      <w:r>
        <w:separator/>
      </w:r>
    </w:p>
  </w:footnote>
  <w:footnote w:type="continuationSeparator" w:id="0">
    <w:p w14:paraId="2AA29C9C" w14:textId="77777777" w:rsidR="004F23E7" w:rsidRDefault="004F23E7" w:rsidP="009B4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350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10350"/>
    </w:tblGrid>
    <w:tr w:rsidR="00855EFC" w:rsidRPr="009376A2" w14:paraId="796BE8FB" w14:textId="77777777" w:rsidTr="0012576F">
      <w:trPr>
        <w:trHeight w:val="2220"/>
        <w:jc w:val="center"/>
      </w:trPr>
      <w:tc>
        <w:tcPr>
          <w:tcW w:w="10350" w:type="dxa"/>
        </w:tcPr>
        <w:p w14:paraId="3C304BB2" w14:textId="0C4F27D7" w:rsidR="00855EFC" w:rsidRPr="009376A2" w:rsidRDefault="00855EFC" w:rsidP="00855EFC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                               </w:t>
          </w:r>
          <w:r w:rsidRPr="007E4E68">
            <w:rPr>
              <w:rFonts w:ascii="Arial" w:hAnsi="Arial" w:cs="Arial"/>
              <w:b/>
              <w:sz w:val="32"/>
              <w:szCs w:val="32"/>
            </w:rPr>
            <w:t>Department of Enterprise</w:t>
          </w:r>
          <w:r>
            <w:rPr>
              <w:rFonts w:ascii="Arial" w:hAnsi="Arial" w:cs="Arial"/>
              <w:b/>
              <w:sz w:val="28"/>
              <w:szCs w:val="28"/>
            </w:rPr>
            <w:t xml:space="preserve"> Services</w:t>
          </w:r>
          <w:r>
            <w:rPr>
              <w:rFonts w:ascii="Arial" w:hAnsi="Arial" w:cs="Arial"/>
              <w:sz w:val="24"/>
              <w:szCs w:val="24"/>
            </w:rPr>
            <w:t xml:space="preserve">                     </w:t>
          </w:r>
          <w:r w:rsidRPr="00995629">
            <w:rPr>
              <w:rFonts w:ascii="Arial" w:hAnsi="Arial" w:cs="Arial"/>
              <w:sz w:val="24"/>
              <w:szCs w:val="24"/>
            </w:rPr>
            <w:t xml:space="preserve">Page </w:t>
          </w:r>
          <w:r w:rsidRPr="00995629">
            <w:rPr>
              <w:rFonts w:ascii="Arial" w:hAnsi="Arial" w:cs="Arial"/>
              <w:b/>
              <w:sz w:val="24"/>
              <w:szCs w:val="24"/>
            </w:rPr>
            <w:fldChar w:fldCharType="begin"/>
          </w:r>
          <w:r w:rsidRPr="00995629">
            <w:rPr>
              <w:rFonts w:ascii="Arial" w:hAnsi="Arial" w:cs="Arial"/>
              <w:b/>
              <w:sz w:val="24"/>
              <w:szCs w:val="24"/>
            </w:rPr>
            <w:instrText xml:space="preserve"> PAGE  \* Arabic  \* MERGEFORMAT </w:instrText>
          </w:r>
          <w:r w:rsidRPr="00995629">
            <w:rPr>
              <w:rFonts w:ascii="Arial" w:hAnsi="Arial" w:cs="Arial"/>
              <w:b/>
              <w:sz w:val="24"/>
              <w:szCs w:val="24"/>
            </w:rPr>
            <w:fldChar w:fldCharType="separate"/>
          </w:r>
          <w:r w:rsidR="000C6E21">
            <w:rPr>
              <w:rFonts w:ascii="Arial" w:hAnsi="Arial" w:cs="Arial"/>
              <w:b/>
              <w:noProof/>
              <w:sz w:val="24"/>
              <w:szCs w:val="24"/>
            </w:rPr>
            <w:t>1</w:t>
          </w:r>
          <w:r w:rsidRPr="00995629">
            <w:rPr>
              <w:rFonts w:ascii="Arial" w:hAnsi="Arial" w:cs="Arial"/>
              <w:b/>
              <w:sz w:val="24"/>
              <w:szCs w:val="24"/>
            </w:rPr>
            <w:fldChar w:fldCharType="end"/>
          </w:r>
          <w:r w:rsidRPr="00995629">
            <w:rPr>
              <w:rFonts w:ascii="Arial" w:hAnsi="Arial" w:cs="Arial"/>
              <w:sz w:val="24"/>
              <w:szCs w:val="24"/>
            </w:rPr>
            <w:t xml:space="preserve"> of </w:t>
          </w:r>
          <w:r w:rsidR="002908C7">
            <w:rPr>
              <w:rFonts w:ascii="Arial" w:hAnsi="Arial" w:cs="Arial"/>
              <w:b/>
              <w:sz w:val="24"/>
              <w:szCs w:val="24"/>
            </w:rPr>
            <w:t>1</w:t>
          </w:r>
        </w:p>
        <w:p w14:paraId="23D4B35F" w14:textId="77777777" w:rsidR="00855EFC" w:rsidRDefault="00855EFC" w:rsidP="00855EFC">
          <w:pPr>
            <w:pStyle w:val="Header"/>
            <w:tabs>
              <w:tab w:val="center" w:pos="5067"/>
            </w:tabs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noProof/>
              <w:sz w:val="40"/>
              <w:szCs w:val="40"/>
            </w:rPr>
            <w:drawing>
              <wp:inline distT="0" distB="0" distL="0" distR="0" wp14:anchorId="3F6B0DB4" wp14:editId="08F995E6">
                <wp:extent cx="603250" cy="541628"/>
                <wp:effectExtent l="0" t="0" r="6350" b="0"/>
                <wp:docPr id="4" name="Picture 4" descr="C:\Users\melanieb.ECLIENT\Pictures\DES_logo_gree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elanieb.ECLIENT\Pictures\DES_logo_gree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250" cy="5416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B1447E">
            <w:rPr>
              <w:rFonts w:ascii="Arial" w:hAnsi="Arial" w:cs="Arial"/>
              <w:b/>
              <w:sz w:val="40"/>
              <w:szCs w:val="40"/>
            </w:rPr>
            <w:t xml:space="preserve">WASHINGTON STATE </w:t>
          </w:r>
          <w:r w:rsidR="00F44D83">
            <w:rPr>
              <w:rFonts w:ascii="Arial" w:hAnsi="Arial" w:cs="Arial"/>
              <w:b/>
              <w:sz w:val="40"/>
              <w:szCs w:val="40"/>
            </w:rPr>
            <w:t xml:space="preserve">DIRECT BUY </w:t>
          </w:r>
          <w:r w:rsidRPr="00B1447E">
            <w:rPr>
              <w:rFonts w:ascii="Arial" w:hAnsi="Arial" w:cs="Arial"/>
              <w:b/>
              <w:sz w:val="40"/>
              <w:szCs w:val="40"/>
            </w:rPr>
            <w:t>POLICY</w:t>
          </w:r>
        </w:p>
        <w:p w14:paraId="31F216D5" w14:textId="77777777" w:rsidR="00855EFC" w:rsidRPr="005A2414" w:rsidRDefault="00855EFC" w:rsidP="00855EFC">
          <w:pPr>
            <w:pStyle w:val="Header"/>
            <w:tabs>
              <w:tab w:val="center" w:pos="5067"/>
            </w:tabs>
            <w:rPr>
              <w:rFonts w:ascii="Arial" w:hAnsi="Arial" w:cs="Arial"/>
              <w:b/>
              <w:sz w:val="24"/>
              <w:szCs w:val="24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117"/>
            <w:gridCol w:w="6002"/>
          </w:tblGrid>
          <w:tr w:rsidR="00855EFC" w14:paraId="4114DCB8" w14:textId="77777777" w:rsidTr="006B4DB0">
            <w:tc>
              <w:tcPr>
                <w:tcW w:w="4117" w:type="dxa"/>
              </w:tcPr>
              <w:p w14:paraId="2F62C29F" w14:textId="77777777" w:rsidR="00855EFC" w:rsidRPr="00B1447E" w:rsidRDefault="00855EFC" w:rsidP="00855EFC">
                <w:pPr>
                  <w:pStyle w:val="Header"/>
                  <w:tabs>
                    <w:tab w:val="left" w:pos="3033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1447E">
                  <w:rPr>
                    <w:rFonts w:ascii="Arial" w:hAnsi="Arial" w:cs="Arial"/>
                    <w:b/>
                    <w:sz w:val="24"/>
                    <w:szCs w:val="24"/>
                  </w:rPr>
                  <w:t>Effective Date:</w:t>
                </w:r>
              </w:p>
            </w:tc>
            <w:tc>
              <w:tcPr>
                <w:tcW w:w="6002" w:type="dxa"/>
              </w:tcPr>
              <w:p w14:paraId="7AD10E0C" w14:textId="77777777" w:rsidR="00855EFC" w:rsidRDefault="00F44D83" w:rsidP="00855EFC">
                <w:pPr>
                  <w:pStyle w:val="Header"/>
                  <w:tabs>
                    <w:tab w:val="left" w:pos="3033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Replace</w:t>
                </w:r>
                <w:r w:rsidR="00855EFC" w:rsidRPr="00B1447E">
                  <w:rPr>
                    <w:rFonts w:ascii="Arial" w:hAnsi="Arial" w:cs="Arial"/>
                    <w:b/>
                    <w:sz w:val="24"/>
                    <w:szCs w:val="24"/>
                  </w:rPr>
                  <w:t>s:</w:t>
                </w:r>
                <w:r w:rsidR="00FA0501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DES-125-03 Direct Buy Policy</w:t>
                </w:r>
                <w:r w:rsidR="00855EFC" w:rsidRPr="00B1447E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r w:rsidR="00855EFC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 </w:t>
                </w:r>
              </w:p>
            </w:tc>
          </w:tr>
          <w:tr w:rsidR="00855EFC" w14:paraId="564C227D" w14:textId="77777777" w:rsidTr="006B4DB0">
            <w:tc>
              <w:tcPr>
                <w:tcW w:w="4117" w:type="dxa"/>
              </w:tcPr>
              <w:p w14:paraId="58644A25" w14:textId="77777777" w:rsidR="00855EFC" w:rsidRDefault="00855EFC" w:rsidP="00855EFC">
                <w:pPr>
                  <w:pStyle w:val="Header"/>
                  <w:tabs>
                    <w:tab w:val="left" w:pos="3033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1447E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Approved by:  </w:t>
                </w: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/s/</w:t>
                </w:r>
              </w:p>
            </w:tc>
            <w:tc>
              <w:tcPr>
                <w:tcW w:w="6002" w:type="dxa"/>
              </w:tcPr>
              <w:p w14:paraId="1A7D5C57" w14:textId="43CE6001" w:rsidR="00855EFC" w:rsidRDefault="00855EFC" w:rsidP="00855EFC">
                <w:pPr>
                  <w:pStyle w:val="Header"/>
                  <w:tabs>
                    <w:tab w:val="left" w:pos="3033"/>
                  </w:tabs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B1447E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See Also:  </w:t>
                </w:r>
                <w:r w:rsidR="003E230E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RCW 39.26.090(6), </w:t>
                </w:r>
                <w:hyperlink r:id="rId2" w:history="1">
                  <w:r w:rsidRPr="00B93115">
                    <w:rPr>
                      <w:rStyle w:val="Hyperlink"/>
                      <w:rFonts w:ascii="Arial" w:hAnsi="Arial" w:cs="Arial"/>
                      <w:b/>
                      <w:sz w:val="24"/>
                      <w:szCs w:val="24"/>
                    </w:rPr>
                    <w:t>RCW 39.26.</w:t>
                  </w:r>
                  <w:r w:rsidR="00FA0501" w:rsidRPr="00B93115">
                    <w:rPr>
                      <w:rStyle w:val="Hyperlink"/>
                      <w:rFonts w:ascii="Arial" w:hAnsi="Arial" w:cs="Arial"/>
                      <w:b/>
                      <w:sz w:val="24"/>
                      <w:szCs w:val="24"/>
                    </w:rPr>
                    <w:t>120</w:t>
                  </w:r>
                </w:hyperlink>
                <w:r w:rsidR="00FA0501" w:rsidRPr="00FA0501">
                  <w:rPr>
                    <w:rFonts w:ascii="Arial" w:hAnsi="Arial" w:cs="Arial"/>
                    <w:b/>
                    <w:sz w:val="24"/>
                    <w:szCs w:val="24"/>
                  </w:rPr>
                  <w:t>,</w:t>
                </w:r>
                <w:r w:rsidR="00284E98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hyperlink r:id="rId3" w:history="1">
                  <w:r w:rsidR="00284E98" w:rsidRPr="00284E98">
                    <w:rPr>
                      <w:rStyle w:val="Hyperlink"/>
                      <w:rFonts w:ascii="Arial" w:hAnsi="Arial" w:cs="Arial"/>
                      <w:b/>
                      <w:sz w:val="24"/>
                      <w:szCs w:val="24"/>
                    </w:rPr>
                    <w:t>RCW 39.26.240</w:t>
                  </w:r>
                </w:hyperlink>
                <w:r w:rsidR="00284E98">
                  <w:rPr>
                    <w:rFonts w:ascii="Arial" w:hAnsi="Arial" w:cs="Arial"/>
                    <w:b/>
                    <w:sz w:val="24"/>
                    <w:szCs w:val="24"/>
                  </w:rPr>
                  <w:t>,</w:t>
                </w:r>
                <w:r w:rsidR="003E230E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RCW 39.26.245,</w:t>
                </w:r>
                <w:r w:rsidR="00FA0501" w:rsidRPr="00FA0501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hyperlink r:id="rId4" w:history="1">
                  <w:r w:rsidR="00FA0501" w:rsidRPr="00B93115">
                    <w:rPr>
                      <w:rStyle w:val="Hyperlink"/>
                      <w:rFonts w:ascii="Arial" w:hAnsi="Arial" w:cs="Arial"/>
                      <w:b/>
                      <w:sz w:val="24"/>
                      <w:szCs w:val="24"/>
                    </w:rPr>
                    <w:t>RCW 39.26.125</w:t>
                  </w:r>
                </w:hyperlink>
                <w:r w:rsidR="00B93115">
                  <w:rPr>
                    <w:rFonts w:ascii="Arial" w:hAnsi="Arial" w:cs="Arial"/>
                    <w:b/>
                    <w:sz w:val="24"/>
                    <w:szCs w:val="24"/>
                  </w:rPr>
                  <w:t>,</w:t>
                </w:r>
                <w:r w:rsidR="00164C7F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  <w:hyperlink r:id="rId5" w:history="1">
                  <w:r w:rsidR="00164C7F" w:rsidRPr="00B93115">
                    <w:rPr>
                      <w:rStyle w:val="Hyperlink"/>
                      <w:rFonts w:ascii="Arial" w:hAnsi="Arial" w:cs="Arial"/>
                      <w:b/>
                      <w:sz w:val="24"/>
                      <w:szCs w:val="24"/>
                    </w:rPr>
                    <w:t>OCIO Policy #121</w:t>
                  </w:r>
                </w:hyperlink>
                <w:r w:rsidRPr="00B1447E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 </w:t>
                </w:r>
              </w:p>
            </w:tc>
          </w:tr>
        </w:tbl>
        <w:p w14:paraId="41D3E7AE" w14:textId="77777777" w:rsidR="00855EFC" w:rsidRPr="009376A2" w:rsidRDefault="00855EFC" w:rsidP="00855EFC">
          <w:pPr>
            <w:pStyle w:val="Header"/>
            <w:rPr>
              <w:rFonts w:ascii="Arial" w:hAnsi="Arial" w:cs="Arial"/>
              <w:i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ab/>
          </w:r>
          <w:r>
            <w:rPr>
              <w:rFonts w:ascii="Arial" w:hAnsi="Arial" w:cs="Arial"/>
              <w:b/>
              <w:sz w:val="24"/>
              <w:szCs w:val="24"/>
            </w:rPr>
            <w:tab/>
          </w:r>
        </w:p>
      </w:tc>
    </w:tr>
  </w:tbl>
  <w:p w14:paraId="3BD5DF2B" w14:textId="77777777" w:rsidR="00855EFC" w:rsidRDefault="000C6E21">
    <w:pPr>
      <w:pStyle w:val="Header"/>
    </w:pPr>
    <w:sdt>
      <w:sdtPr>
        <w:rPr>
          <w:rFonts w:ascii="Arial" w:hAnsi="Arial" w:cs="Arial"/>
          <w:b/>
          <w:sz w:val="28"/>
          <w:szCs w:val="28"/>
        </w:rPr>
        <w:id w:val="1325015575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sz w:val="28"/>
            <w:szCs w:val="28"/>
            <w:lang w:eastAsia="zh-TW"/>
          </w:rPr>
          <w:pict w14:anchorId="69F8546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EA9"/>
    <w:multiLevelType w:val="hybridMultilevel"/>
    <w:tmpl w:val="C59472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B1746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E1298"/>
    <w:multiLevelType w:val="hybridMultilevel"/>
    <w:tmpl w:val="23AE3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AA42F1"/>
    <w:multiLevelType w:val="hybridMultilevel"/>
    <w:tmpl w:val="8E7E18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576598"/>
    <w:multiLevelType w:val="hybridMultilevel"/>
    <w:tmpl w:val="9C76EA6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17291B"/>
    <w:multiLevelType w:val="hybridMultilevel"/>
    <w:tmpl w:val="664004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A30B48"/>
    <w:multiLevelType w:val="hybridMultilevel"/>
    <w:tmpl w:val="1450B2D4"/>
    <w:lvl w:ilvl="0" w:tplc="A30A65FA">
      <w:start w:val="1"/>
      <w:numFmt w:val="lowerLetter"/>
      <w:lvlText w:val="%1."/>
      <w:lvlJc w:val="left"/>
      <w:pPr>
        <w:ind w:left="108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45A1F"/>
    <w:multiLevelType w:val="hybridMultilevel"/>
    <w:tmpl w:val="1EE6A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FD1A33"/>
    <w:multiLevelType w:val="hybridMultilevel"/>
    <w:tmpl w:val="74C88E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4057C9"/>
    <w:multiLevelType w:val="hybridMultilevel"/>
    <w:tmpl w:val="5A8C251A"/>
    <w:lvl w:ilvl="0" w:tplc="E834CE7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A30A65FA">
      <w:start w:val="1"/>
      <w:numFmt w:val="lowerLetter"/>
      <w:lvlText w:val="%2."/>
      <w:lvlJc w:val="left"/>
      <w:pPr>
        <w:ind w:left="1080" w:hanging="360"/>
      </w:pPr>
      <w:rPr>
        <w:b w:val="0"/>
        <w:sz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210246"/>
    <w:multiLevelType w:val="hybridMultilevel"/>
    <w:tmpl w:val="6DEC70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3F7BFF"/>
    <w:multiLevelType w:val="hybridMultilevel"/>
    <w:tmpl w:val="CC705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6231B3"/>
    <w:multiLevelType w:val="hybridMultilevel"/>
    <w:tmpl w:val="CCEAE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5"/>
  </w:num>
  <w:num w:numId="10">
    <w:abstractNumId w:val="8"/>
  </w:num>
  <w:num w:numId="11">
    <w:abstractNumId w:val="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46E"/>
    <w:rsid w:val="00000C3A"/>
    <w:rsid w:val="00010BFD"/>
    <w:rsid w:val="00012001"/>
    <w:rsid w:val="00014161"/>
    <w:rsid w:val="00015F80"/>
    <w:rsid w:val="000224AC"/>
    <w:rsid w:val="00043B4E"/>
    <w:rsid w:val="0004772B"/>
    <w:rsid w:val="0004773E"/>
    <w:rsid w:val="0006011E"/>
    <w:rsid w:val="00061FC8"/>
    <w:rsid w:val="00064FAE"/>
    <w:rsid w:val="000679C8"/>
    <w:rsid w:val="00075EB9"/>
    <w:rsid w:val="00091247"/>
    <w:rsid w:val="0009245E"/>
    <w:rsid w:val="000A1A4E"/>
    <w:rsid w:val="000A66CE"/>
    <w:rsid w:val="000B4207"/>
    <w:rsid w:val="000C5707"/>
    <w:rsid w:val="000C6E21"/>
    <w:rsid w:val="000C7E8F"/>
    <w:rsid w:val="000E02C1"/>
    <w:rsid w:val="000E1607"/>
    <w:rsid w:val="000F25F5"/>
    <w:rsid w:val="000F51FD"/>
    <w:rsid w:val="001136E4"/>
    <w:rsid w:val="0012576F"/>
    <w:rsid w:val="001528FB"/>
    <w:rsid w:val="00154D22"/>
    <w:rsid w:val="00164C7F"/>
    <w:rsid w:val="001922AA"/>
    <w:rsid w:val="001A34D7"/>
    <w:rsid w:val="001B1AE5"/>
    <w:rsid w:val="001B28F3"/>
    <w:rsid w:val="001C7EEB"/>
    <w:rsid w:val="002141BA"/>
    <w:rsid w:val="00226D39"/>
    <w:rsid w:val="00234F6A"/>
    <w:rsid w:val="00246DE6"/>
    <w:rsid w:val="0027779D"/>
    <w:rsid w:val="00284E98"/>
    <w:rsid w:val="002908C7"/>
    <w:rsid w:val="00293DEA"/>
    <w:rsid w:val="002A35A5"/>
    <w:rsid w:val="002C3C0C"/>
    <w:rsid w:val="002D60CF"/>
    <w:rsid w:val="002F0418"/>
    <w:rsid w:val="002F0B49"/>
    <w:rsid w:val="002F7D6F"/>
    <w:rsid w:val="00321866"/>
    <w:rsid w:val="00355903"/>
    <w:rsid w:val="00357302"/>
    <w:rsid w:val="003626BF"/>
    <w:rsid w:val="003633C2"/>
    <w:rsid w:val="00380210"/>
    <w:rsid w:val="00380D18"/>
    <w:rsid w:val="0038434F"/>
    <w:rsid w:val="003A4482"/>
    <w:rsid w:val="003A4D6B"/>
    <w:rsid w:val="003B3FEE"/>
    <w:rsid w:val="003B6E13"/>
    <w:rsid w:val="003C7D21"/>
    <w:rsid w:val="003D3B02"/>
    <w:rsid w:val="003D4494"/>
    <w:rsid w:val="003E230E"/>
    <w:rsid w:val="00417ACC"/>
    <w:rsid w:val="004325B7"/>
    <w:rsid w:val="00440684"/>
    <w:rsid w:val="0044332C"/>
    <w:rsid w:val="00452E58"/>
    <w:rsid w:val="00453756"/>
    <w:rsid w:val="004559FE"/>
    <w:rsid w:val="00463B40"/>
    <w:rsid w:val="00464C8F"/>
    <w:rsid w:val="00472408"/>
    <w:rsid w:val="00472C75"/>
    <w:rsid w:val="0048506C"/>
    <w:rsid w:val="00493B6A"/>
    <w:rsid w:val="004B0D93"/>
    <w:rsid w:val="004B1215"/>
    <w:rsid w:val="004C5859"/>
    <w:rsid w:val="004D3AEB"/>
    <w:rsid w:val="004F14A7"/>
    <w:rsid w:val="004F23E7"/>
    <w:rsid w:val="004F3959"/>
    <w:rsid w:val="0052505C"/>
    <w:rsid w:val="00544137"/>
    <w:rsid w:val="0054454D"/>
    <w:rsid w:val="00551EFE"/>
    <w:rsid w:val="00562F8C"/>
    <w:rsid w:val="00572219"/>
    <w:rsid w:val="00580BA0"/>
    <w:rsid w:val="0058173E"/>
    <w:rsid w:val="005874E7"/>
    <w:rsid w:val="00591EA3"/>
    <w:rsid w:val="005B0EFE"/>
    <w:rsid w:val="005C0D03"/>
    <w:rsid w:val="005C2505"/>
    <w:rsid w:val="005D00BB"/>
    <w:rsid w:val="005D40A0"/>
    <w:rsid w:val="005D7DAA"/>
    <w:rsid w:val="005E23B1"/>
    <w:rsid w:val="005E548E"/>
    <w:rsid w:val="005E6D3E"/>
    <w:rsid w:val="005F6273"/>
    <w:rsid w:val="00600323"/>
    <w:rsid w:val="0061794C"/>
    <w:rsid w:val="006315C0"/>
    <w:rsid w:val="00652675"/>
    <w:rsid w:val="0065641A"/>
    <w:rsid w:val="00660558"/>
    <w:rsid w:val="0069755D"/>
    <w:rsid w:val="006B6010"/>
    <w:rsid w:val="006C164B"/>
    <w:rsid w:val="006D610F"/>
    <w:rsid w:val="006D7322"/>
    <w:rsid w:val="006F1595"/>
    <w:rsid w:val="00712A2C"/>
    <w:rsid w:val="00721144"/>
    <w:rsid w:val="00722B16"/>
    <w:rsid w:val="007302BD"/>
    <w:rsid w:val="007314FF"/>
    <w:rsid w:val="007323A0"/>
    <w:rsid w:val="00750C44"/>
    <w:rsid w:val="007518CC"/>
    <w:rsid w:val="00764AD0"/>
    <w:rsid w:val="007732E1"/>
    <w:rsid w:val="00784554"/>
    <w:rsid w:val="007861C4"/>
    <w:rsid w:val="00796A7A"/>
    <w:rsid w:val="007C39D6"/>
    <w:rsid w:val="007C61C7"/>
    <w:rsid w:val="007D0BA6"/>
    <w:rsid w:val="007D2067"/>
    <w:rsid w:val="007E2EF7"/>
    <w:rsid w:val="007E4D58"/>
    <w:rsid w:val="007F15C3"/>
    <w:rsid w:val="007F2B0F"/>
    <w:rsid w:val="007F7742"/>
    <w:rsid w:val="008111FD"/>
    <w:rsid w:val="008211CC"/>
    <w:rsid w:val="00822DCF"/>
    <w:rsid w:val="00840A22"/>
    <w:rsid w:val="00854315"/>
    <w:rsid w:val="00855EFC"/>
    <w:rsid w:val="008804C3"/>
    <w:rsid w:val="0088646E"/>
    <w:rsid w:val="00890CE3"/>
    <w:rsid w:val="00895D82"/>
    <w:rsid w:val="008A1DA7"/>
    <w:rsid w:val="008B1074"/>
    <w:rsid w:val="008D4819"/>
    <w:rsid w:val="008D675C"/>
    <w:rsid w:val="008E3B08"/>
    <w:rsid w:val="008E6521"/>
    <w:rsid w:val="008F03E6"/>
    <w:rsid w:val="008F472E"/>
    <w:rsid w:val="008F6670"/>
    <w:rsid w:val="009228D7"/>
    <w:rsid w:val="00940087"/>
    <w:rsid w:val="00955044"/>
    <w:rsid w:val="0096657D"/>
    <w:rsid w:val="00967689"/>
    <w:rsid w:val="009766D7"/>
    <w:rsid w:val="0098274B"/>
    <w:rsid w:val="00983D72"/>
    <w:rsid w:val="00990E09"/>
    <w:rsid w:val="00995629"/>
    <w:rsid w:val="009B4020"/>
    <w:rsid w:val="009B446E"/>
    <w:rsid w:val="009B47A0"/>
    <w:rsid w:val="009D22C3"/>
    <w:rsid w:val="009E5807"/>
    <w:rsid w:val="009E59E3"/>
    <w:rsid w:val="009E65ED"/>
    <w:rsid w:val="009E775B"/>
    <w:rsid w:val="009F0543"/>
    <w:rsid w:val="00A0604D"/>
    <w:rsid w:val="00A15080"/>
    <w:rsid w:val="00A25B19"/>
    <w:rsid w:val="00A2609A"/>
    <w:rsid w:val="00A31F35"/>
    <w:rsid w:val="00A522DE"/>
    <w:rsid w:val="00A554EC"/>
    <w:rsid w:val="00A82DBB"/>
    <w:rsid w:val="00A90A80"/>
    <w:rsid w:val="00AA7A8C"/>
    <w:rsid w:val="00AA7ECE"/>
    <w:rsid w:val="00AB435B"/>
    <w:rsid w:val="00AC74F9"/>
    <w:rsid w:val="00AD23DF"/>
    <w:rsid w:val="00AE25CF"/>
    <w:rsid w:val="00AF2EF2"/>
    <w:rsid w:val="00B109A9"/>
    <w:rsid w:val="00B116AE"/>
    <w:rsid w:val="00B14911"/>
    <w:rsid w:val="00B160E6"/>
    <w:rsid w:val="00B17693"/>
    <w:rsid w:val="00B50CEC"/>
    <w:rsid w:val="00B57BB9"/>
    <w:rsid w:val="00B6569A"/>
    <w:rsid w:val="00B674B6"/>
    <w:rsid w:val="00B70B86"/>
    <w:rsid w:val="00B725F1"/>
    <w:rsid w:val="00B74959"/>
    <w:rsid w:val="00B814BE"/>
    <w:rsid w:val="00B92705"/>
    <w:rsid w:val="00B93115"/>
    <w:rsid w:val="00BB008C"/>
    <w:rsid w:val="00BB3332"/>
    <w:rsid w:val="00BB42E7"/>
    <w:rsid w:val="00BC7ADA"/>
    <w:rsid w:val="00C03B6F"/>
    <w:rsid w:val="00C060A7"/>
    <w:rsid w:val="00C11DE1"/>
    <w:rsid w:val="00C12276"/>
    <w:rsid w:val="00C20636"/>
    <w:rsid w:val="00C20CBA"/>
    <w:rsid w:val="00C348E2"/>
    <w:rsid w:val="00C44341"/>
    <w:rsid w:val="00C449E7"/>
    <w:rsid w:val="00C52EF4"/>
    <w:rsid w:val="00C5523C"/>
    <w:rsid w:val="00C8729A"/>
    <w:rsid w:val="00CA5016"/>
    <w:rsid w:val="00CA6984"/>
    <w:rsid w:val="00CB02AF"/>
    <w:rsid w:val="00CC068D"/>
    <w:rsid w:val="00CC2420"/>
    <w:rsid w:val="00CC28BF"/>
    <w:rsid w:val="00CC6138"/>
    <w:rsid w:val="00CD04F8"/>
    <w:rsid w:val="00CE1747"/>
    <w:rsid w:val="00CF4DE8"/>
    <w:rsid w:val="00D033B4"/>
    <w:rsid w:val="00D304B4"/>
    <w:rsid w:val="00D3078A"/>
    <w:rsid w:val="00D34FAF"/>
    <w:rsid w:val="00D35C47"/>
    <w:rsid w:val="00D43348"/>
    <w:rsid w:val="00D51D4E"/>
    <w:rsid w:val="00D54AC6"/>
    <w:rsid w:val="00D569C5"/>
    <w:rsid w:val="00D71F3F"/>
    <w:rsid w:val="00D723E2"/>
    <w:rsid w:val="00D73B87"/>
    <w:rsid w:val="00D869A9"/>
    <w:rsid w:val="00D905BE"/>
    <w:rsid w:val="00D90E26"/>
    <w:rsid w:val="00DA100F"/>
    <w:rsid w:val="00DB23F2"/>
    <w:rsid w:val="00DB6A5E"/>
    <w:rsid w:val="00DC712A"/>
    <w:rsid w:val="00DF3663"/>
    <w:rsid w:val="00E01867"/>
    <w:rsid w:val="00E06ABD"/>
    <w:rsid w:val="00E127C1"/>
    <w:rsid w:val="00E1698C"/>
    <w:rsid w:val="00E230EC"/>
    <w:rsid w:val="00E279C4"/>
    <w:rsid w:val="00E40926"/>
    <w:rsid w:val="00E4632D"/>
    <w:rsid w:val="00E47235"/>
    <w:rsid w:val="00E561EA"/>
    <w:rsid w:val="00E5757C"/>
    <w:rsid w:val="00E61847"/>
    <w:rsid w:val="00E64CD7"/>
    <w:rsid w:val="00E7251E"/>
    <w:rsid w:val="00E94762"/>
    <w:rsid w:val="00EA64DA"/>
    <w:rsid w:val="00EA726A"/>
    <w:rsid w:val="00EC28FA"/>
    <w:rsid w:val="00ED78C2"/>
    <w:rsid w:val="00EE1396"/>
    <w:rsid w:val="00EE53A3"/>
    <w:rsid w:val="00EF2755"/>
    <w:rsid w:val="00F05116"/>
    <w:rsid w:val="00F06AB2"/>
    <w:rsid w:val="00F0735C"/>
    <w:rsid w:val="00F44D83"/>
    <w:rsid w:val="00F61BBB"/>
    <w:rsid w:val="00F62426"/>
    <w:rsid w:val="00F62747"/>
    <w:rsid w:val="00F65B90"/>
    <w:rsid w:val="00F6717D"/>
    <w:rsid w:val="00F71393"/>
    <w:rsid w:val="00F93514"/>
    <w:rsid w:val="00F94947"/>
    <w:rsid w:val="00FA0501"/>
    <w:rsid w:val="00FA2E14"/>
    <w:rsid w:val="00FA3B28"/>
    <w:rsid w:val="00FA40DD"/>
    <w:rsid w:val="00FB476D"/>
    <w:rsid w:val="00FE0F72"/>
    <w:rsid w:val="00FE5E9F"/>
    <w:rsid w:val="00FF0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AB07AE8"/>
  <w15:docId w15:val="{8A48F9F3-2552-45B6-8548-5FF67CF3A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46E"/>
  </w:style>
  <w:style w:type="paragraph" w:styleId="Footer">
    <w:name w:val="footer"/>
    <w:basedOn w:val="Normal"/>
    <w:link w:val="FooterChar"/>
    <w:uiPriority w:val="99"/>
    <w:unhideWhenUsed/>
    <w:rsid w:val="009B4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46E"/>
  </w:style>
  <w:style w:type="table" w:styleId="TableGrid">
    <w:name w:val="Table Grid"/>
    <w:basedOn w:val="TableNormal"/>
    <w:uiPriority w:val="59"/>
    <w:rsid w:val="009B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B42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22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60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302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302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302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2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2BD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44068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A1DA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F6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.leg.wa.gov/RCW/default.aspx?cite=39.26.09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es.wa.gov/sites/default/files/public/documents/About/Procurement_reform/Policies/DES-170-00ComplaintsProtes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pp.leg.wa.gov/RCW/default.aspx?cite=28B.10.02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app.leg.wa.gov/RCW/default.aspx?cite=39.26.240" TargetMode="External"/><Relationship Id="rId2" Type="http://schemas.openxmlformats.org/officeDocument/2006/relationships/hyperlink" Target="http://app.leg.wa.gov/RCW/default.aspx?cite=39.26.120" TargetMode="External"/><Relationship Id="rId1" Type="http://schemas.openxmlformats.org/officeDocument/2006/relationships/image" Target="media/image1.jpeg"/><Relationship Id="rId5" Type="http://schemas.openxmlformats.org/officeDocument/2006/relationships/hyperlink" Target="https://ocio.wa.gov/policy/it-investments-approval-and-oversight-policy" TargetMode="External"/><Relationship Id="rId4" Type="http://schemas.openxmlformats.org/officeDocument/2006/relationships/hyperlink" Target="http://app.leg.wa.gov/RCW/default.aspx?cite=39.26.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A8BE8-A9D0-44F8-BAE1-9A7E2692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Washington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Buechel, Melanie (DES)</dc:creator>
  <cp:lastModifiedBy>Warnock, Christine (DES)</cp:lastModifiedBy>
  <cp:revision>2</cp:revision>
  <cp:lastPrinted>2018-08-28T14:50:00Z</cp:lastPrinted>
  <dcterms:created xsi:type="dcterms:W3CDTF">2018-09-06T22:54:00Z</dcterms:created>
  <dcterms:modified xsi:type="dcterms:W3CDTF">2018-09-06T22:54:00Z</dcterms:modified>
</cp:coreProperties>
</file>